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F0626">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sz w:val="44"/>
          <w:szCs w:val="44"/>
          <w:lang w:eastAsia="zh-CN"/>
        </w:rPr>
      </w:pPr>
      <w:r>
        <w:rPr>
          <w:rFonts w:hint="eastAsia" w:asciiTheme="minorEastAsia" w:hAnsiTheme="minorEastAsia" w:eastAsiaTheme="minorEastAsia" w:cstheme="minorEastAsia"/>
          <w:sz w:val="44"/>
          <w:szCs w:val="44"/>
          <w:lang w:eastAsia="zh-CN"/>
        </w:rPr>
        <w:t>2026</w:t>
      </w:r>
      <w:r>
        <w:rPr>
          <w:rFonts w:hint="eastAsia" w:ascii="方正小标宋简体" w:hAnsi="方正小标宋简体" w:eastAsia="方正小标宋简体" w:cs="方正小标宋简体"/>
          <w:sz w:val="44"/>
          <w:szCs w:val="44"/>
          <w:lang w:eastAsia="zh-CN"/>
        </w:rPr>
        <w:t>年行政检查工作计划</w:t>
      </w:r>
    </w:p>
    <w:p w14:paraId="2297EF80">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2"/>
          <w:szCs w:val="22"/>
          <w:lang w:eastAsia="zh-CN"/>
        </w:rPr>
      </w:pPr>
    </w:p>
    <w:p w14:paraId="6422A5CD">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根据省政府、市政府有关“双随机、一公开”工作要求及省人社厅工作安排，结合全市人社系统工作实际，制定本计划。</w:t>
      </w:r>
    </w:p>
    <w:p w14:paraId="4797E594">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sz w:val="32"/>
          <w:szCs w:val="22"/>
          <w:lang w:eastAsia="zh-CN"/>
        </w:rPr>
      </w:pPr>
      <w:r>
        <w:rPr>
          <w:rFonts w:hint="eastAsia" w:ascii="黑体" w:hAnsi="黑体" w:eastAsia="黑体" w:cs="黑体"/>
          <w:sz w:val="32"/>
          <w:szCs w:val="22"/>
          <w:lang w:eastAsia="zh-CN"/>
        </w:rPr>
        <w:t>一、检查范围</w:t>
      </w:r>
    </w:p>
    <w:p w14:paraId="56634062">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经全市人社系统许可的民办职业技能培训学校、民办技工学校、人力资源市场服务机构、劳务派遣机构、实行不定时工作制和综合计算工资制的单位，与劳动者建立劳动关系的企业和个体工商户，及市本级在建工程项目。</w:t>
      </w:r>
    </w:p>
    <w:p w14:paraId="1EDC7CCF">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sz w:val="32"/>
          <w:szCs w:val="22"/>
          <w:lang w:eastAsia="zh-CN"/>
        </w:rPr>
      </w:pPr>
      <w:r>
        <w:rPr>
          <w:rFonts w:hint="eastAsia" w:ascii="黑体" w:hAnsi="黑体" w:eastAsia="黑体" w:cs="黑体"/>
          <w:sz w:val="32"/>
          <w:szCs w:val="22"/>
          <w:lang w:eastAsia="zh-CN"/>
        </w:rPr>
        <w:t>二、检查目标</w:t>
      </w:r>
    </w:p>
    <w:p w14:paraId="6A8C72E1">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为全面提升行政执法质量，精减入企检查次数，合理安排检查时间，避免扎堆检查。规范人力资源和社会保障日常监管行为，结合监管重点、风险点、行业领域等职责任务，统一组织、全面覆盖、协调推进，全面做好本部门行政检查工作。</w:t>
      </w:r>
    </w:p>
    <w:p w14:paraId="66D0799D">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sz w:val="32"/>
          <w:szCs w:val="22"/>
          <w:lang w:eastAsia="zh-CN"/>
        </w:rPr>
      </w:pPr>
      <w:r>
        <w:rPr>
          <w:rFonts w:hint="eastAsia" w:ascii="黑体" w:hAnsi="黑体" w:eastAsia="黑体" w:cs="黑体"/>
          <w:sz w:val="32"/>
          <w:szCs w:val="22"/>
          <w:lang w:eastAsia="zh-CN"/>
        </w:rPr>
        <w:t>三、检查内容</w:t>
      </w:r>
    </w:p>
    <w:p w14:paraId="220546E4">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（一）对全市人社系统许可的市场主体是否规范经营的监督检查。</w:t>
      </w:r>
    </w:p>
    <w:p w14:paraId="1879C2C6">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（二）对用人单位遵守劳动保障法律法规的监督检查，重点是对用人单位签订劳动合同、遵守禁止使用童工规定情况、支付劳动者工资和执行最低工资标准情况以及落实高温天气劳动保护情况的监督检查。</w:t>
      </w:r>
    </w:p>
    <w:p w14:paraId="14A7602C">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（三）对依据《保障农民工工资支付条例》落实情况的监督检查。</w:t>
      </w:r>
    </w:p>
    <w:p w14:paraId="179A289E">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sz w:val="32"/>
          <w:szCs w:val="22"/>
          <w:lang w:eastAsia="zh-CN"/>
        </w:rPr>
      </w:pPr>
      <w:r>
        <w:rPr>
          <w:rFonts w:hint="eastAsia" w:ascii="黑体" w:hAnsi="黑体" w:eastAsia="黑体" w:cs="黑体"/>
          <w:sz w:val="32"/>
          <w:szCs w:val="22"/>
          <w:lang w:eastAsia="zh-CN"/>
        </w:rPr>
        <w:t>四、时间安排</w:t>
      </w:r>
    </w:p>
    <w:p w14:paraId="5D3C236F">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全年计划安排</w:t>
      </w:r>
      <w:r>
        <w:rPr>
          <w:rFonts w:hint="eastAsia" w:asciiTheme="minorEastAsia" w:hAnsiTheme="minorEastAsia" w:eastAsiaTheme="minorEastAsia" w:cstheme="minorEastAsia"/>
          <w:sz w:val="32"/>
          <w:szCs w:val="22"/>
          <w:lang w:eastAsia="zh-CN"/>
        </w:rPr>
        <w:t>12</w:t>
      </w:r>
      <w:r>
        <w:rPr>
          <w:rFonts w:hint="eastAsia" w:ascii="仿宋_GB2312" w:hAnsi="仿宋_GB2312" w:eastAsia="仿宋_GB2312" w:cs="仿宋_GB2312"/>
          <w:sz w:val="32"/>
          <w:szCs w:val="22"/>
          <w:lang w:eastAsia="zh-CN"/>
        </w:rPr>
        <w:t>月底前完成。</w:t>
      </w:r>
    </w:p>
    <w:p w14:paraId="7FF2882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sz w:val="32"/>
          <w:szCs w:val="22"/>
          <w:lang w:eastAsia="zh-CN"/>
        </w:rPr>
      </w:pPr>
      <w:r>
        <w:rPr>
          <w:rFonts w:hint="eastAsia" w:ascii="黑体" w:hAnsi="黑体" w:eastAsia="黑体" w:cs="黑体"/>
          <w:sz w:val="32"/>
          <w:szCs w:val="22"/>
          <w:lang w:eastAsia="zh-CN"/>
        </w:rPr>
        <w:t>五、检查方式</w:t>
      </w:r>
    </w:p>
    <w:p w14:paraId="70289243">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全市人社系统随机抽派执法人员对被抽查单位进行现场检查。被抽查单位应当予以配合，接受检查，如实反映情况，提供相关材料，不得以任何形式阻碍、拒绝。</w:t>
      </w:r>
    </w:p>
    <w:p w14:paraId="7146974B">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sz w:val="32"/>
          <w:szCs w:val="22"/>
          <w:lang w:eastAsia="zh-CN"/>
        </w:rPr>
      </w:pPr>
      <w:r>
        <w:rPr>
          <w:rFonts w:hint="eastAsia" w:ascii="黑体" w:hAnsi="黑体" w:eastAsia="黑体" w:cs="黑体"/>
          <w:sz w:val="32"/>
          <w:szCs w:val="22"/>
          <w:lang w:eastAsia="zh-CN"/>
        </w:rPr>
        <w:t>六、检查结果运用</w:t>
      </w:r>
    </w:p>
    <w:p w14:paraId="1A3E1C13">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检查结果将在检查结束后</w:t>
      </w:r>
      <w:r>
        <w:rPr>
          <w:rFonts w:hint="eastAsia" w:asciiTheme="minorEastAsia" w:hAnsiTheme="minorEastAsia" w:eastAsiaTheme="minorEastAsia" w:cstheme="minorEastAsia"/>
          <w:sz w:val="32"/>
          <w:szCs w:val="22"/>
          <w:lang w:eastAsia="zh-CN"/>
        </w:rPr>
        <w:t>20</w:t>
      </w:r>
      <w:r>
        <w:rPr>
          <w:rFonts w:hint="eastAsia" w:ascii="仿宋_GB2312" w:hAnsi="仿宋_GB2312" w:eastAsia="仿宋_GB2312" w:cs="仿宋_GB2312"/>
          <w:sz w:val="32"/>
          <w:szCs w:val="22"/>
          <w:lang w:eastAsia="zh-CN"/>
        </w:rPr>
        <w:t>日内进行公示,并同步录入“闽执法”平台。根据执法检查结果，向问题单位发放《三明市人力资源和社会保障局“双随机”综合执法检查意见书》，责令整改。加大对违法主体的行政处罚和失信惩戒力度，依法实施撤销许可证、列入经营异常名录和“黑名单”等监管惩戒措施。涉嫌违法犯罪的，将移送有关部门。</w:t>
      </w:r>
    </w:p>
    <w:p w14:paraId="083E6FCA">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p>
    <w:p w14:paraId="2566E6A6">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附件：</w:t>
      </w:r>
      <w:r>
        <w:rPr>
          <w:rFonts w:hint="eastAsia" w:asciiTheme="minorEastAsia" w:hAnsiTheme="minorEastAsia" w:eastAsiaTheme="minorEastAsia" w:cstheme="minorEastAsia"/>
          <w:sz w:val="32"/>
          <w:szCs w:val="22"/>
          <w:lang w:eastAsia="zh-CN"/>
        </w:rPr>
        <w:t>2026</w:t>
      </w:r>
      <w:r>
        <w:rPr>
          <w:rFonts w:hint="eastAsia" w:ascii="仿宋_GB2312" w:hAnsi="仿宋_GB2312" w:eastAsia="仿宋_GB2312" w:cs="仿宋_GB2312"/>
          <w:sz w:val="32"/>
          <w:szCs w:val="22"/>
          <w:lang w:eastAsia="zh-CN"/>
        </w:rPr>
        <w:t>年行政检查工作计划表</w:t>
      </w:r>
    </w:p>
    <w:p w14:paraId="66226E36">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p>
    <w:p w14:paraId="064EDFEB">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sectPr>
          <w:pgSz w:w="11906" w:h="16838"/>
          <w:pgMar w:top="2098" w:right="1531" w:bottom="1985" w:left="1531" w:header="851" w:footer="1588" w:gutter="0"/>
          <w:pgNumType w:fmt="numberInDash"/>
          <w:cols w:space="425" w:num="1"/>
          <w:docGrid w:type="linesAndChars" w:linePitch="579" w:charSpace="-849"/>
        </w:sectPr>
      </w:pPr>
    </w:p>
    <w:p w14:paraId="68B33671">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黑体" w:hAnsi="黑体" w:eastAsia="黑体" w:cs="黑体"/>
          <w:sz w:val="32"/>
          <w:szCs w:val="22"/>
          <w:lang w:eastAsia="zh-CN"/>
        </w:rPr>
      </w:pPr>
      <w:r>
        <w:rPr>
          <w:rFonts w:hint="eastAsia" w:ascii="黑体" w:hAnsi="黑体" w:eastAsia="黑体" w:cs="黑体"/>
          <w:sz w:val="32"/>
          <w:szCs w:val="22"/>
          <w:lang w:eastAsia="zh-CN"/>
        </w:rPr>
        <w:t>附件</w:t>
      </w:r>
    </w:p>
    <w:p w14:paraId="78853208">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2"/>
          <w:szCs w:val="22"/>
          <w:lang w:eastAsia="zh-CN"/>
        </w:rPr>
      </w:pPr>
    </w:p>
    <w:p w14:paraId="3A2928DF">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sz w:val="44"/>
          <w:szCs w:val="44"/>
          <w:lang w:eastAsia="zh-CN"/>
        </w:rPr>
      </w:pPr>
      <w:r>
        <w:rPr>
          <w:rFonts w:hint="eastAsia" w:asciiTheme="minorEastAsia" w:hAnsiTheme="minorEastAsia" w:eastAsiaTheme="minorEastAsia" w:cstheme="minorEastAsia"/>
          <w:sz w:val="44"/>
          <w:szCs w:val="44"/>
          <w:lang w:eastAsia="zh-CN"/>
        </w:rPr>
        <w:t>2026</w:t>
      </w:r>
      <w:r>
        <w:rPr>
          <w:rFonts w:hint="eastAsia" w:ascii="方正小标宋简体" w:hAnsi="方正小标宋简体" w:eastAsia="方正小标宋简体" w:cs="方正小标宋简体"/>
          <w:sz w:val="44"/>
          <w:szCs w:val="44"/>
          <w:lang w:eastAsia="zh-CN"/>
        </w:rPr>
        <w:t>年行政检查工作计划表</w:t>
      </w:r>
    </w:p>
    <w:p w14:paraId="0D1E8DF7">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2"/>
          <w:szCs w:val="22"/>
          <w:lang w:eastAsia="zh-CN"/>
        </w:rPr>
      </w:pPr>
    </w:p>
    <w:tbl>
      <w:tblPr>
        <w:tblStyle w:val="3"/>
        <w:tblW w:w="14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644"/>
        <w:gridCol w:w="935"/>
        <w:gridCol w:w="1871"/>
        <w:gridCol w:w="1020"/>
        <w:gridCol w:w="3484"/>
        <w:gridCol w:w="2043"/>
        <w:gridCol w:w="1233"/>
        <w:gridCol w:w="1633"/>
      </w:tblGrid>
      <w:tr w14:paraId="63CA8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blHeader/>
          <w:jc w:val="center"/>
        </w:trPr>
        <w:tc>
          <w:tcPr>
            <w:tcW w:w="563" w:type="dxa"/>
            <w:noWrap w:val="0"/>
            <w:vAlign w:val="center"/>
          </w:tcPr>
          <w:p w14:paraId="762BC9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序号</w:t>
            </w:r>
          </w:p>
        </w:tc>
        <w:tc>
          <w:tcPr>
            <w:tcW w:w="1644" w:type="dxa"/>
            <w:noWrap w:val="0"/>
            <w:vAlign w:val="center"/>
          </w:tcPr>
          <w:p w14:paraId="38F862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抽查任务名称</w:t>
            </w:r>
          </w:p>
        </w:tc>
        <w:tc>
          <w:tcPr>
            <w:tcW w:w="935" w:type="dxa"/>
            <w:noWrap w:val="0"/>
            <w:vAlign w:val="center"/>
          </w:tcPr>
          <w:p w14:paraId="68D4D7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抽查</w:t>
            </w:r>
          </w:p>
          <w:p w14:paraId="67C3C4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区域</w:t>
            </w:r>
          </w:p>
        </w:tc>
        <w:tc>
          <w:tcPr>
            <w:tcW w:w="1871" w:type="dxa"/>
            <w:noWrap w:val="0"/>
            <w:vAlign w:val="center"/>
          </w:tcPr>
          <w:p w14:paraId="3E8639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抽查对象（行业企业、产品、项目等）</w:t>
            </w:r>
          </w:p>
        </w:tc>
        <w:tc>
          <w:tcPr>
            <w:tcW w:w="1020" w:type="dxa"/>
            <w:noWrap w:val="0"/>
            <w:vAlign w:val="center"/>
          </w:tcPr>
          <w:p w14:paraId="692B08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抽查</w:t>
            </w:r>
          </w:p>
          <w:p w14:paraId="21EF01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比例</w:t>
            </w:r>
          </w:p>
        </w:tc>
        <w:tc>
          <w:tcPr>
            <w:tcW w:w="3484" w:type="dxa"/>
            <w:noWrap w:val="0"/>
            <w:vAlign w:val="center"/>
          </w:tcPr>
          <w:p w14:paraId="251F7D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检查具体事项</w:t>
            </w:r>
          </w:p>
        </w:tc>
        <w:tc>
          <w:tcPr>
            <w:tcW w:w="2043" w:type="dxa"/>
            <w:noWrap w:val="0"/>
            <w:vAlign w:val="center"/>
          </w:tcPr>
          <w:p w14:paraId="5F59A1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检查方式（“双随机、一公开”检查；日常检查；专项检查；重点检查）</w:t>
            </w:r>
          </w:p>
        </w:tc>
        <w:tc>
          <w:tcPr>
            <w:tcW w:w="1233" w:type="dxa"/>
            <w:noWrap w:val="0"/>
            <w:vAlign w:val="center"/>
          </w:tcPr>
          <w:p w14:paraId="411440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计划抽查时间</w:t>
            </w:r>
          </w:p>
        </w:tc>
        <w:tc>
          <w:tcPr>
            <w:tcW w:w="1633" w:type="dxa"/>
            <w:noWrap w:val="0"/>
            <w:vAlign w:val="center"/>
          </w:tcPr>
          <w:p w14:paraId="1C6FE9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实施检查</w:t>
            </w:r>
          </w:p>
          <w:p w14:paraId="50192B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单位</w:t>
            </w:r>
          </w:p>
        </w:tc>
      </w:tr>
      <w:tr w14:paraId="17B2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jc w:val="center"/>
        </w:trPr>
        <w:tc>
          <w:tcPr>
            <w:tcW w:w="563" w:type="dxa"/>
            <w:noWrap w:val="0"/>
            <w:vAlign w:val="center"/>
          </w:tcPr>
          <w:p w14:paraId="6D1259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1</w:t>
            </w:r>
          </w:p>
        </w:tc>
        <w:tc>
          <w:tcPr>
            <w:tcW w:w="1644" w:type="dxa"/>
            <w:noWrap w:val="0"/>
            <w:vAlign w:val="center"/>
          </w:tcPr>
          <w:p w14:paraId="5352D2E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清理整顿人力资源市场秩序专项行动</w:t>
            </w:r>
          </w:p>
        </w:tc>
        <w:tc>
          <w:tcPr>
            <w:tcW w:w="935" w:type="dxa"/>
            <w:noWrap w:val="0"/>
            <w:vAlign w:val="center"/>
          </w:tcPr>
          <w:p w14:paraId="35A51F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全市</w:t>
            </w:r>
          </w:p>
        </w:tc>
        <w:tc>
          <w:tcPr>
            <w:tcW w:w="1871" w:type="dxa"/>
            <w:noWrap w:val="0"/>
            <w:vAlign w:val="center"/>
          </w:tcPr>
          <w:p w14:paraId="39BC3888">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1</w:t>
            </w:r>
            <w:r>
              <w:rPr>
                <w:rFonts w:hint="eastAsia" w:ascii="仿宋_GB2312" w:hAnsi="仿宋_GB2312" w:eastAsia="仿宋_GB2312" w:cs="仿宋_GB2312"/>
                <w:i w:val="0"/>
                <w:color w:val="auto"/>
                <w:kern w:val="0"/>
                <w:sz w:val="24"/>
                <w:szCs w:val="24"/>
                <w:u w:val="none"/>
                <w:lang w:val="en-US" w:eastAsia="zh-CN" w:bidi="ar"/>
              </w:rPr>
              <w:t>.经营性人力资源服务机构</w:t>
            </w:r>
          </w:p>
          <w:p w14:paraId="358DA2B1">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2</w:t>
            </w:r>
            <w:r>
              <w:rPr>
                <w:rFonts w:hint="eastAsia" w:ascii="仿宋_GB2312" w:hAnsi="仿宋_GB2312" w:eastAsia="仿宋_GB2312" w:cs="仿宋_GB2312"/>
                <w:i w:val="0"/>
                <w:color w:val="auto"/>
                <w:kern w:val="0"/>
                <w:sz w:val="24"/>
                <w:szCs w:val="24"/>
                <w:u w:val="none"/>
                <w:lang w:val="en-US" w:eastAsia="zh-CN" w:bidi="ar"/>
              </w:rPr>
              <w:t>.劳务派遣公司</w:t>
            </w:r>
          </w:p>
        </w:tc>
        <w:tc>
          <w:tcPr>
            <w:tcW w:w="1020" w:type="dxa"/>
            <w:noWrap w:val="0"/>
            <w:vAlign w:val="center"/>
          </w:tcPr>
          <w:p w14:paraId="042DAD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sz w:val="24"/>
                <w:szCs w:val="24"/>
                <w:u w:val="none"/>
              </w:rPr>
              <w:t>不少于检查对象名录库的</w:t>
            </w:r>
            <w:r>
              <w:rPr>
                <w:rFonts w:hint="eastAsia" w:asciiTheme="minorEastAsia" w:hAnsiTheme="minorEastAsia" w:eastAsiaTheme="minorEastAsia" w:cstheme="minorEastAsia"/>
                <w:i w:val="0"/>
                <w:color w:val="auto"/>
                <w:spacing w:val="-11"/>
                <w:sz w:val="24"/>
                <w:szCs w:val="24"/>
                <w:u w:val="none"/>
              </w:rPr>
              <w:t>10</w:t>
            </w:r>
            <w:r>
              <w:rPr>
                <w:rFonts w:hint="eastAsia" w:ascii="仿宋_GB2312" w:hAnsi="仿宋_GB2312" w:eastAsia="仿宋_GB2312" w:cs="仿宋_GB2312"/>
                <w:i w:val="0"/>
                <w:color w:val="auto"/>
                <w:spacing w:val="-11"/>
                <w:sz w:val="24"/>
                <w:szCs w:val="24"/>
                <w:u w:val="none"/>
              </w:rPr>
              <w:t>%</w:t>
            </w:r>
          </w:p>
        </w:tc>
        <w:tc>
          <w:tcPr>
            <w:tcW w:w="3484" w:type="dxa"/>
            <w:noWrap w:val="0"/>
            <w:vAlign w:val="center"/>
          </w:tcPr>
          <w:p w14:paraId="3AF9CD28">
            <w:pPr>
              <w:keepNext w:val="0"/>
              <w:keepLines w:val="0"/>
              <w:pageBreakBefore w:val="0"/>
              <w:widowControl/>
              <w:numPr>
                <w:ilvl w:val="0"/>
                <w:numId w:val="1"/>
              </w:numPr>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检查对象遵守有关法律法规情况；</w:t>
            </w:r>
            <w:r>
              <w:rPr>
                <w:rFonts w:hint="eastAsia" w:asciiTheme="minorEastAsia" w:hAnsiTheme="minorEastAsia" w:eastAsiaTheme="minorEastAsia" w:cstheme="minorEastAsia"/>
                <w:i w:val="0"/>
                <w:color w:val="auto"/>
                <w:kern w:val="0"/>
                <w:sz w:val="24"/>
                <w:szCs w:val="24"/>
                <w:u w:val="none"/>
                <w:lang w:val="en-US" w:eastAsia="zh-CN" w:bidi="ar"/>
              </w:rPr>
              <w:t>2</w:t>
            </w:r>
            <w:r>
              <w:rPr>
                <w:rFonts w:hint="eastAsia" w:ascii="仿宋_GB2312" w:hAnsi="仿宋_GB2312" w:eastAsia="仿宋_GB2312" w:cs="仿宋_GB2312"/>
                <w:i w:val="0"/>
                <w:color w:val="auto"/>
                <w:kern w:val="0"/>
                <w:sz w:val="24"/>
                <w:szCs w:val="24"/>
                <w:u w:val="none"/>
                <w:lang w:val="en-US" w:eastAsia="zh-CN" w:bidi="ar"/>
              </w:rPr>
              <w:t>.检查对象严格按照许可范围及有关规范开展业务情况；</w:t>
            </w:r>
            <w:r>
              <w:rPr>
                <w:rFonts w:hint="eastAsia" w:asciiTheme="minorEastAsia" w:hAnsiTheme="minorEastAsia" w:eastAsiaTheme="minorEastAsia" w:cstheme="minorEastAsia"/>
                <w:i w:val="0"/>
                <w:color w:val="auto"/>
                <w:kern w:val="0"/>
                <w:sz w:val="24"/>
                <w:szCs w:val="24"/>
                <w:u w:val="none"/>
                <w:lang w:val="en-US" w:eastAsia="zh-CN" w:bidi="ar"/>
              </w:rPr>
              <w:t>3</w:t>
            </w:r>
            <w:r>
              <w:rPr>
                <w:rFonts w:hint="eastAsia" w:ascii="仿宋_GB2312" w:hAnsi="仿宋_GB2312" w:eastAsia="仿宋_GB2312" w:cs="仿宋_GB2312"/>
                <w:i w:val="0"/>
                <w:color w:val="auto"/>
                <w:kern w:val="0"/>
                <w:sz w:val="24"/>
                <w:szCs w:val="24"/>
                <w:u w:val="none"/>
                <w:lang w:val="en-US" w:eastAsia="zh-CN" w:bidi="ar"/>
              </w:rPr>
              <w:t>.检查对象申请批设时提交材料的准确性和真实性；</w:t>
            </w:r>
            <w:r>
              <w:rPr>
                <w:rFonts w:hint="eastAsia" w:asciiTheme="minorEastAsia" w:hAnsiTheme="minorEastAsia" w:eastAsiaTheme="minorEastAsia" w:cstheme="minorEastAsia"/>
                <w:i w:val="0"/>
                <w:color w:val="auto"/>
                <w:kern w:val="0"/>
                <w:sz w:val="24"/>
                <w:szCs w:val="24"/>
                <w:u w:val="none"/>
                <w:lang w:val="en-US" w:eastAsia="zh-CN" w:bidi="ar"/>
              </w:rPr>
              <w:t>4</w:t>
            </w:r>
            <w:r>
              <w:rPr>
                <w:rFonts w:hint="eastAsia" w:ascii="仿宋_GB2312" w:hAnsi="仿宋_GB2312" w:eastAsia="仿宋_GB2312" w:cs="仿宋_GB2312"/>
                <w:i w:val="0"/>
                <w:color w:val="auto"/>
                <w:kern w:val="0"/>
                <w:sz w:val="24"/>
                <w:szCs w:val="24"/>
                <w:u w:val="none"/>
                <w:lang w:val="en-US" w:eastAsia="zh-CN" w:bidi="ar"/>
              </w:rPr>
              <w:t>.被投诉举报事项核查情况；</w:t>
            </w:r>
            <w:r>
              <w:rPr>
                <w:rFonts w:hint="eastAsia" w:asciiTheme="minorEastAsia" w:hAnsiTheme="minorEastAsia" w:eastAsiaTheme="minorEastAsia" w:cstheme="minorEastAsia"/>
                <w:i w:val="0"/>
                <w:color w:val="auto"/>
                <w:kern w:val="0"/>
                <w:sz w:val="24"/>
                <w:szCs w:val="24"/>
                <w:u w:val="none"/>
                <w:lang w:val="en-US" w:eastAsia="zh-CN" w:bidi="ar"/>
              </w:rPr>
              <w:t>5</w:t>
            </w:r>
            <w:r>
              <w:rPr>
                <w:rFonts w:hint="eastAsia" w:ascii="仿宋_GB2312" w:hAnsi="仿宋_GB2312" w:eastAsia="仿宋_GB2312" w:cs="仿宋_GB2312"/>
                <w:i w:val="0"/>
                <w:color w:val="auto"/>
                <w:kern w:val="0"/>
                <w:sz w:val="24"/>
                <w:szCs w:val="24"/>
                <w:u w:val="none"/>
                <w:lang w:val="en-US" w:eastAsia="zh-CN" w:bidi="ar"/>
              </w:rPr>
              <w:t>.其他根据法律法规规章规定可以检查的内容。</w:t>
            </w:r>
          </w:p>
        </w:tc>
        <w:tc>
          <w:tcPr>
            <w:tcW w:w="2043" w:type="dxa"/>
            <w:noWrap w:val="0"/>
            <w:vAlign w:val="center"/>
          </w:tcPr>
          <w:p w14:paraId="331D4008">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spacing w:val="-11"/>
                <w:kern w:val="0"/>
                <w:sz w:val="24"/>
                <w:szCs w:val="24"/>
                <w:u w:val="none"/>
                <w:lang w:val="en-US" w:eastAsia="zh-CN" w:bidi="ar"/>
              </w:rPr>
              <w:t>“双随机、一公开”检查；</w:t>
            </w:r>
            <w:r>
              <w:rPr>
                <w:rFonts w:hint="eastAsia" w:ascii="仿宋_GB2312" w:hAnsi="仿宋_GB2312" w:eastAsia="仿宋_GB2312" w:cs="仿宋_GB2312"/>
                <w:i w:val="0"/>
                <w:color w:val="auto"/>
                <w:kern w:val="0"/>
                <w:sz w:val="24"/>
                <w:szCs w:val="24"/>
                <w:u w:val="none"/>
                <w:lang w:val="en-US" w:eastAsia="zh-CN" w:bidi="ar"/>
              </w:rPr>
              <w:t>专项检查</w:t>
            </w:r>
          </w:p>
        </w:tc>
        <w:tc>
          <w:tcPr>
            <w:tcW w:w="1233" w:type="dxa"/>
            <w:noWrap w:val="0"/>
            <w:vAlign w:val="center"/>
          </w:tcPr>
          <w:p w14:paraId="5D12CCD9">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auto"/>
                <w:spacing w:val="-11"/>
                <w:sz w:val="24"/>
                <w:szCs w:val="24"/>
                <w:u w:val="none"/>
                <w:lang w:val="en-US" w:eastAsia="zh-CN"/>
              </w:rPr>
            </w:pPr>
            <w:r>
              <w:rPr>
                <w:rFonts w:hint="eastAsia" w:asciiTheme="minorEastAsia" w:hAnsiTheme="minorEastAsia" w:eastAsiaTheme="minorEastAsia" w:cstheme="minorEastAsia"/>
                <w:i w:val="0"/>
                <w:color w:val="auto"/>
                <w:spacing w:val="-11"/>
                <w:sz w:val="24"/>
                <w:szCs w:val="24"/>
                <w:u w:val="none"/>
                <w:lang w:val="en-US"/>
              </w:rPr>
              <w:t>202</w:t>
            </w:r>
            <w:r>
              <w:rPr>
                <w:rFonts w:hint="eastAsia" w:asciiTheme="minorEastAsia" w:hAnsiTheme="minorEastAsia" w:eastAsiaTheme="minorEastAsia" w:cstheme="minorEastAsia"/>
                <w:i w:val="0"/>
                <w:color w:val="auto"/>
                <w:spacing w:val="-11"/>
                <w:sz w:val="24"/>
                <w:szCs w:val="24"/>
                <w:u w:val="none"/>
                <w:lang w:val="en-US" w:eastAsia="zh-CN"/>
              </w:rPr>
              <w:t>6</w:t>
            </w:r>
            <w:r>
              <w:rPr>
                <w:rFonts w:hint="eastAsia" w:ascii="仿宋_GB2312" w:hAnsi="仿宋_GB2312" w:eastAsia="仿宋_GB2312" w:cs="仿宋_GB2312"/>
                <w:i w:val="0"/>
                <w:color w:val="auto"/>
                <w:spacing w:val="-11"/>
                <w:sz w:val="24"/>
                <w:szCs w:val="24"/>
                <w:u w:val="none"/>
                <w:lang w:val="en-US" w:eastAsia="zh-CN"/>
              </w:rPr>
              <w:t>年</w:t>
            </w:r>
          </w:p>
          <w:p w14:paraId="7680645D">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auto"/>
                <w:spacing w:val="-11"/>
                <w:sz w:val="24"/>
                <w:szCs w:val="24"/>
                <w:u w:val="none"/>
                <w:lang w:val="en-US" w:eastAsia="zh-CN"/>
              </w:rPr>
            </w:pPr>
            <w:r>
              <w:rPr>
                <w:rFonts w:hint="eastAsia" w:ascii="仿宋_GB2312" w:hAnsi="仿宋_GB2312" w:eastAsia="仿宋_GB2312" w:cs="仿宋_GB2312"/>
                <w:i w:val="0"/>
                <w:color w:val="auto"/>
                <w:spacing w:val="-11"/>
                <w:sz w:val="24"/>
                <w:szCs w:val="24"/>
                <w:u w:val="none"/>
                <w:lang w:val="en-US" w:eastAsia="zh-CN"/>
              </w:rPr>
              <w:t>（其中劳务派遣公司，上、下半年各检查一次）</w:t>
            </w:r>
          </w:p>
        </w:tc>
        <w:tc>
          <w:tcPr>
            <w:tcW w:w="1633" w:type="dxa"/>
            <w:noWrap w:val="0"/>
            <w:vAlign w:val="center"/>
          </w:tcPr>
          <w:p w14:paraId="3A6513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以实际文件为准</w:t>
            </w:r>
          </w:p>
        </w:tc>
      </w:tr>
      <w:tr w14:paraId="125B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563" w:type="dxa"/>
            <w:noWrap w:val="0"/>
            <w:vAlign w:val="center"/>
          </w:tcPr>
          <w:p w14:paraId="630C0B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2</w:t>
            </w:r>
          </w:p>
        </w:tc>
        <w:tc>
          <w:tcPr>
            <w:tcW w:w="1644" w:type="dxa"/>
            <w:noWrap w:val="0"/>
            <w:vAlign w:val="center"/>
          </w:tcPr>
          <w:p w14:paraId="616B33D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设立民办职业资格培训、职业技能培训学校审批及设立普通、高级技工学校审批</w:t>
            </w:r>
          </w:p>
        </w:tc>
        <w:tc>
          <w:tcPr>
            <w:tcW w:w="935" w:type="dxa"/>
            <w:noWrap w:val="0"/>
            <w:vAlign w:val="center"/>
          </w:tcPr>
          <w:p w14:paraId="1CAB4A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全市</w:t>
            </w:r>
          </w:p>
        </w:tc>
        <w:tc>
          <w:tcPr>
            <w:tcW w:w="1871" w:type="dxa"/>
            <w:noWrap w:val="0"/>
            <w:vAlign w:val="center"/>
          </w:tcPr>
          <w:p w14:paraId="5E62C26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民办职业技能培训学校</w:t>
            </w:r>
          </w:p>
        </w:tc>
        <w:tc>
          <w:tcPr>
            <w:tcW w:w="1020" w:type="dxa"/>
            <w:noWrap w:val="0"/>
            <w:vAlign w:val="center"/>
          </w:tcPr>
          <w:p w14:paraId="60B338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Theme="minorEastAsia" w:hAnsiTheme="minorEastAsia" w:eastAsiaTheme="minorEastAsia" w:cstheme="minorEastAsia"/>
                <w:i w:val="0"/>
                <w:color w:val="auto"/>
                <w:kern w:val="0"/>
                <w:sz w:val="24"/>
                <w:szCs w:val="24"/>
                <w:u w:val="none"/>
                <w:lang w:val="en-US" w:eastAsia="zh-CN" w:bidi="ar"/>
              </w:rPr>
              <w:t>2</w:t>
            </w:r>
            <w:r>
              <w:rPr>
                <w:rFonts w:hint="eastAsia" w:ascii="仿宋_GB2312" w:hAnsi="仿宋_GB2312" w:eastAsia="仿宋_GB2312" w:cs="仿宋_GB2312"/>
                <w:i w:val="0"/>
                <w:color w:val="auto"/>
                <w:kern w:val="0"/>
                <w:sz w:val="24"/>
                <w:szCs w:val="24"/>
                <w:u w:val="none"/>
                <w:lang w:val="en-US" w:eastAsia="zh-CN" w:bidi="ar"/>
              </w:rPr>
              <w:t>家</w:t>
            </w:r>
          </w:p>
        </w:tc>
        <w:tc>
          <w:tcPr>
            <w:tcW w:w="3484" w:type="dxa"/>
            <w:noWrap w:val="0"/>
            <w:vAlign w:val="center"/>
          </w:tcPr>
          <w:p w14:paraId="4857A53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Theme="minorEastAsia" w:hAnsiTheme="minorEastAsia" w:eastAsiaTheme="minorEastAsia" w:cstheme="minorEastAsia"/>
                <w:i w:val="0"/>
                <w:color w:val="auto"/>
                <w:spacing w:val="-6"/>
                <w:kern w:val="0"/>
                <w:sz w:val="24"/>
                <w:szCs w:val="24"/>
                <w:u w:val="none"/>
                <w:lang w:val="en-US" w:eastAsia="zh-CN" w:bidi="ar"/>
              </w:rPr>
              <w:t>1</w:t>
            </w:r>
            <w:r>
              <w:rPr>
                <w:rFonts w:hint="eastAsia" w:ascii="仿宋_GB2312" w:hAnsi="仿宋_GB2312" w:eastAsia="仿宋_GB2312" w:cs="仿宋_GB2312"/>
                <w:i w:val="0"/>
                <w:color w:val="auto"/>
                <w:spacing w:val="-6"/>
                <w:kern w:val="0"/>
                <w:sz w:val="24"/>
                <w:szCs w:val="24"/>
                <w:u w:val="none"/>
                <w:lang w:val="en-US" w:eastAsia="zh-CN" w:bidi="ar"/>
              </w:rPr>
              <w:t>.检查对象遵守有关法律法规情况；</w:t>
            </w:r>
            <w:r>
              <w:rPr>
                <w:rFonts w:hint="eastAsia" w:asciiTheme="minorEastAsia" w:hAnsiTheme="minorEastAsia" w:eastAsiaTheme="minorEastAsia" w:cstheme="minorEastAsia"/>
                <w:i w:val="0"/>
                <w:color w:val="auto"/>
                <w:spacing w:val="-6"/>
                <w:kern w:val="0"/>
                <w:sz w:val="24"/>
                <w:szCs w:val="24"/>
                <w:u w:val="none"/>
                <w:lang w:val="en-US" w:eastAsia="zh-CN" w:bidi="ar"/>
              </w:rPr>
              <w:t>2</w:t>
            </w:r>
            <w:r>
              <w:rPr>
                <w:rFonts w:hint="eastAsia" w:ascii="仿宋_GB2312" w:hAnsi="仿宋_GB2312" w:eastAsia="仿宋_GB2312" w:cs="仿宋_GB2312"/>
                <w:i w:val="0"/>
                <w:color w:val="auto"/>
                <w:spacing w:val="-6"/>
                <w:kern w:val="0"/>
                <w:sz w:val="24"/>
                <w:szCs w:val="24"/>
                <w:u w:val="none"/>
                <w:lang w:val="en-US" w:eastAsia="zh-CN" w:bidi="ar"/>
              </w:rPr>
              <w:t>.检查对象严格按照许可范围及有关规范开展业务情况；</w:t>
            </w:r>
            <w:r>
              <w:rPr>
                <w:rFonts w:hint="eastAsia" w:asciiTheme="minorEastAsia" w:hAnsiTheme="minorEastAsia" w:eastAsiaTheme="minorEastAsia" w:cstheme="minorEastAsia"/>
                <w:i w:val="0"/>
                <w:color w:val="auto"/>
                <w:spacing w:val="-6"/>
                <w:kern w:val="0"/>
                <w:sz w:val="24"/>
                <w:szCs w:val="24"/>
                <w:u w:val="none"/>
                <w:lang w:val="en-US" w:eastAsia="zh-CN" w:bidi="ar"/>
              </w:rPr>
              <w:t>3</w:t>
            </w:r>
            <w:r>
              <w:rPr>
                <w:rFonts w:hint="eastAsia" w:ascii="仿宋_GB2312" w:hAnsi="仿宋_GB2312" w:eastAsia="仿宋_GB2312" w:cs="仿宋_GB2312"/>
                <w:i w:val="0"/>
                <w:color w:val="auto"/>
                <w:spacing w:val="-6"/>
                <w:kern w:val="0"/>
                <w:sz w:val="24"/>
                <w:szCs w:val="24"/>
                <w:u w:val="none"/>
                <w:lang w:val="en-US" w:eastAsia="zh-CN" w:bidi="ar"/>
              </w:rPr>
              <w:t>.检查对象申请批设时提交材料的准确性和真实性；</w:t>
            </w:r>
            <w:r>
              <w:rPr>
                <w:rFonts w:hint="eastAsia" w:asciiTheme="minorEastAsia" w:hAnsiTheme="minorEastAsia" w:eastAsiaTheme="minorEastAsia" w:cstheme="minorEastAsia"/>
                <w:i w:val="0"/>
                <w:color w:val="auto"/>
                <w:spacing w:val="-6"/>
                <w:kern w:val="0"/>
                <w:sz w:val="24"/>
                <w:szCs w:val="24"/>
                <w:u w:val="none"/>
                <w:lang w:val="en-US" w:eastAsia="zh-CN" w:bidi="ar"/>
              </w:rPr>
              <w:t>4</w:t>
            </w:r>
            <w:r>
              <w:rPr>
                <w:rFonts w:hint="eastAsia" w:ascii="仿宋_GB2312" w:hAnsi="仿宋_GB2312" w:eastAsia="仿宋_GB2312" w:cs="仿宋_GB2312"/>
                <w:i w:val="0"/>
                <w:color w:val="auto"/>
                <w:spacing w:val="-6"/>
                <w:kern w:val="0"/>
                <w:sz w:val="24"/>
                <w:szCs w:val="24"/>
                <w:u w:val="none"/>
                <w:lang w:val="en-US" w:eastAsia="zh-CN" w:bidi="ar"/>
              </w:rPr>
              <w:t>.被投诉举报事项核查情况；</w:t>
            </w:r>
            <w:r>
              <w:rPr>
                <w:rFonts w:hint="eastAsia" w:asciiTheme="minorEastAsia" w:hAnsiTheme="minorEastAsia" w:eastAsiaTheme="minorEastAsia" w:cstheme="minorEastAsia"/>
                <w:i w:val="0"/>
                <w:color w:val="auto"/>
                <w:spacing w:val="-6"/>
                <w:kern w:val="0"/>
                <w:sz w:val="24"/>
                <w:szCs w:val="24"/>
                <w:u w:val="none"/>
                <w:lang w:val="en-US" w:eastAsia="zh-CN" w:bidi="ar"/>
              </w:rPr>
              <w:t>5</w:t>
            </w:r>
            <w:r>
              <w:rPr>
                <w:rFonts w:hint="eastAsia" w:ascii="仿宋_GB2312" w:hAnsi="仿宋_GB2312" w:eastAsia="仿宋_GB2312" w:cs="仿宋_GB2312"/>
                <w:i w:val="0"/>
                <w:color w:val="auto"/>
                <w:spacing w:val="-6"/>
                <w:kern w:val="0"/>
                <w:sz w:val="24"/>
                <w:szCs w:val="24"/>
                <w:u w:val="none"/>
                <w:lang w:val="en-US" w:eastAsia="zh-CN" w:bidi="ar"/>
              </w:rPr>
              <w:t>.其他根据法律法规规章规定可以检查的内容。</w:t>
            </w:r>
          </w:p>
        </w:tc>
        <w:tc>
          <w:tcPr>
            <w:tcW w:w="2043" w:type="dxa"/>
            <w:noWrap w:val="0"/>
            <w:vAlign w:val="center"/>
          </w:tcPr>
          <w:p w14:paraId="673CC2BE">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pacing w:val="-11"/>
                <w:kern w:val="0"/>
                <w:sz w:val="24"/>
                <w:szCs w:val="24"/>
                <w:u w:val="none"/>
                <w:lang w:val="en-US" w:eastAsia="zh-CN" w:bidi="ar"/>
              </w:rPr>
              <w:t>“双随机、一公开”检查</w:t>
            </w:r>
          </w:p>
        </w:tc>
        <w:tc>
          <w:tcPr>
            <w:tcW w:w="1233" w:type="dxa"/>
            <w:noWrap w:val="0"/>
            <w:vAlign w:val="center"/>
          </w:tcPr>
          <w:p w14:paraId="06E4E8E6">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auto"/>
                <w:kern w:val="2"/>
                <w:sz w:val="24"/>
                <w:szCs w:val="24"/>
                <w:u w:val="none"/>
                <w:lang w:val="en-US" w:eastAsia="zh-CN" w:bidi="ar-SA"/>
              </w:rPr>
            </w:pPr>
            <w:r>
              <w:rPr>
                <w:rFonts w:hint="eastAsia" w:asciiTheme="minorEastAsia" w:hAnsiTheme="minorEastAsia" w:eastAsiaTheme="minorEastAsia" w:cstheme="minorEastAsia"/>
                <w:i w:val="0"/>
                <w:color w:val="auto"/>
                <w:sz w:val="24"/>
                <w:szCs w:val="24"/>
                <w:u w:val="none"/>
                <w:lang w:val="en-US"/>
              </w:rPr>
              <w:t>202</w:t>
            </w:r>
            <w:r>
              <w:rPr>
                <w:rFonts w:hint="eastAsia" w:asciiTheme="minorEastAsia" w:hAnsiTheme="minorEastAsia" w:eastAsiaTheme="minorEastAsia" w:cstheme="minorEastAsia"/>
                <w:i w:val="0"/>
                <w:color w:val="auto"/>
                <w:sz w:val="24"/>
                <w:szCs w:val="24"/>
                <w:u w:val="none"/>
                <w:lang w:val="en-US" w:eastAsia="zh-CN"/>
              </w:rPr>
              <w:t>6</w:t>
            </w:r>
            <w:r>
              <w:rPr>
                <w:rFonts w:hint="eastAsia" w:ascii="仿宋_GB2312" w:hAnsi="仿宋_GB2312" w:eastAsia="仿宋_GB2312" w:cs="仿宋_GB2312"/>
                <w:i w:val="0"/>
                <w:color w:val="auto"/>
                <w:sz w:val="24"/>
                <w:szCs w:val="24"/>
                <w:u w:val="none"/>
                <w:lang w:val="en-US" w:eastAsia="zh-CN"/>
              </w:rPr>
              <w:t>年</w:t>
            </w:r>
          </w:p>
        </w:tc>
        <w:tc>
          <w:tcPr>
            <w:tcW w:w="1633" w:type="dxa"/>
            <w:noWrap w:val="0"/>
            <w:vAlign w:val="center"/>
          </w:tcPr>
          <w:p w14:paraId="4982F5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市人社局</w:t>
            </w:r>
          </w:p>
        </w:tc>
      </w:tr>
      <w:tr w14:paraId="135C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jc w:val="center"/>
        </w:trPr>
        <w:tc>
          <w:tcPr>
            <w:tcW w:w="563" w:type="dxa"/>
            <w:noWrap w:val="0"/>
            <w:vAlign w:val="center"/>
          </w:tcPr>
          <w:p w14:paraId="1D1AB8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Theme="minorEastAsia" w:hAnsiTheme="minorEastAsia" w:eastAsiaTheme="minorEastAsia" w:cstheme="minorEastAsia"/>
                <w:i w:val="0"/>
                <w:color w:val="000000"/>
                <w:sz w:val="24"/>
                <w:szCs w:val="24"/>
                <w:u w:val="none"/>
                <w:lang w:val="en-US" w:eastAsia="zh-CN"/>
              </w:rPr>
              <w:t>3</w:t>
            </w:r>
          </w:p>
        </w:tc>
        <w:tc>
          <w:tcPr>
            <w:tcW w:w="1644" w:type="dxa"/>
            <w:noWrap w:val="0"/>
            <w:vAlign w:val="center"/>
          </w:tcPr>
          <w:p w14:paraId="2519FC2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夏季高温天气劳动保护专项检查</w:t>
            </w:r>
          </w:p>
        </w:tc>
        <w:tc>
          <w:tcPr>
            <w:tcW w:w="935" w:type="dxa"/>
            <w:noWrap w:val="0"/>
            <w:vAlign w:val="center"/>
          </w:tcPr>
          <w:p w14:paraId="5E0AEC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市本级</w:t>
            </w:r>
          </w:p>
        </w:tc>
        <w:tc>
          <w:tcPr>
            <w:tcW w:w="1871" w:type="dxa"/>
            <w:noWrap w:val="0"/>
            <w:vAlign w:val="center"/>
          </w:tcPr>
          <w:p w14:paraId="0473FBF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Theme="minorEastAsia" w:hAnsiTheme="minorEastAsia" w:eastAsiaTheme="minorEastAsia" w:cstheme="minorEastAsia"/>
                <w:i w:val="0"/>
                <w:color w:val="auto"/>
                <w:kern w:val="0"/>
                <w:sz w:val="24"/>
                <w:szCs w:val="24"/>
                <w:u w:val="none"/>
                <w:lang w:val="en-US" w:eastAsia="zh-CN" w:bidi="ar"/>
              </w:rPr>
              <w:t>1</w:t>
            </w:r>
            <w:r>
              <w:rPr>
                <w:rFonts w:hint="eastAsia" w:ascii="仿宋_GB2312" w:hAnsi="仿宋_GB2312" w:eastAsia="仿宋_GB2312" w:cs="仿宋_GB2312"/>
                <w:i w:val="0"/>
                <w:color w:val="auto"/>
                <w:kern w:val="0"/>
                <w:sz w:val="24"/>
                <w:szCs w:val="24"/>
                <w:u w:val="none"/>
                <w:lang w:val="en-US" w:eastAsia="zh-CN" w:bidi="ar"/>
              </w:rPr>
              <w:t>.企业</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Theme="minorEastAsia" w:hAnsiTheme="minorEastAsia" w:eastAsiaTheme="minorEastAsia" w:cstheme="minorEastAsia"/>
                <w:i w:val="0"/>
                <w:color w:val="auto"/>
                <w:kern w:val="0"/>
                <w:sz w:val="24"/>
                <w:szCs w:val="24"/>
                <w:u w:val="none"/>
                <w:lang w:val="en-US" w:eastAsia="zh-CN" w:bidi="ar"/>
              </w:rPr>
              <w:t>2</w:t>
            </w:r>
            <w:r>
              <w:rPr>
                <w:rFonts w:hint="eastAsia" w:ascii="仿宋_GB2312" w:hAnsi="仿宋_GB2312" w:eastAsia="仿宋_GB2312" w:cs="仿宋_GB2312"/>
                <w:i w:val="0"/>
                <w:color w:val="auto"/>
                <w:kern w:val="0"/>
                <w:sz w:val="24"/>
                <w:szCs w:val="24"/>
                <w:u w:val="none"/>
                <w:lang w:val="en-US" w:eastAsia="zh-CN" w:bidi="ar"/>
              </w:rPr>
              <w:t>.在建项目</w:t>
            </w:r>
          </w:p>
        </w:tc>
        <w:tc>
          <w:tcPr>
            <w:tcW w:w="1020" w:type="dxa"/>
            <w:noWrap w:val="0"/>
            <w:vAlign w:val="center"/>
          </w:tcPr>
          <w:p w14:paraId="195F91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Theme="minorEastAsia" w:hAnsiTheme="minorEastAsia" w:eastAsiaTheme="minorEastAsia" w:cstheme="minorEastAsia"/>
                <w:i w:val="0"/>
                <w:color w:val="auto"/>
                <w:kern w:val="0"/>
                <w:sz w:val="24"/>
                <w:szCs w:val="24"/>
                <w:u w:val="none"/>
                <w:lang w:val="en-US" w:eastAsia="zh-CN" w:bidi="ar"/>
              </w:rPr>
              <w:t>10</w:t>
            </w:r>
            <w:r>
              <w:rPr>
                <w:rFonts w:hint="eastAsia" w:ascii="仿宋_GB2312" w:hAnsi="仿宋_GB2312" w:eastAsia="仿宋_GB2312" w:cs="仿宋_GB2312"/>
                <w:i w:val="0"/>
                <w:color w:val="auto"/>
                <w:kern w:val="0"/>
                <w:sz w:val="24"/>
                <w:szCs w:val="24"/>
                <w:u w:val="none"/>
                <w:lang w:val="en-US" w:eastAsia="zh-CN" w:bidi="ar"/>
              </w:rPr>
              <w:t>家</w:t>
            </w:r>
          </w:p>
        </w:tc>
        <w:tc>
          <w:tcPr>
            <w:tcW w:w="3484" w:type="dxa"/>
            <w:noWrap w:val="0"/>
            <w:vAlign w:val="center"/>
          </w:tcPr>
          <w:p w14:paraId="4074931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Theme="minorEastAsia" w:hAnsiTheme="minorEastAsia" w:eastAsiaTheme="minorEastAsia" w:cstheme="minorEastAsia"/>
                <w:i w:val="0"/>
                <w:color w:val="auto"/>
                <w:kern w:val="0"/>
                <w:sz w:val="24"/>
                <w:szCs w:val="24"/>
                <w:u w:val="none"/>
                <w:lang w:val="en-US" w:eastAsia="zh-CN" w:bidi="ar"/>
              </w:rPr>
              <w:t>1</w:t>
            </w:r>
            <w:r>
              <w:rPr>
                <w:rFonts w:hint="eastAsia" w:ascii="仿宋_GB2312" w:hAnsi="仿宋_GB2312" w:eastAsia="仿宋_GB2312" w:cs="仿宋_GB2312"/>
                <w:i w:val="0"/>
                <w:color w:val="auto"/>
                <w:kern w:val="0"/>
                <w:sz w:val="24"/>
                <w:szCs w:val="24"/>
                <w:u w:val="none"/>
                <w:lang w:val="en-US" w:eastAsia="zh-CN" w:bidi="ar"/>
              </w:rPr>
              <w:t>.检查对象遵守有关法律法规情况；</w:t>
            </w:r>
            <w:r>
              <w:rPr>
                <w:rFonts w:hint="eastAsia" w:asciiTheme="minorEastAsia" w:hAnsiTheme="minorEastAsia" w:eastAsiaTheme="minorEastAsia" w:cstheme="minorEastAsia"/>
                <w:i w:val="0"/>
                <w:color w:val="auto"/>
                <w:kern w:val="0"/>
                <w:sz w:val="24"/>
                <w:szCs w:val="24"/>
                <w:u w:val="none"/>
                <w:lang w:val="en-US" w:eastAsia="zh-CN" w:bidi="ar"/>
              </w:rPr>
              <w:t>2</w:t>
            </w:r>
            <w:r>
              <w:rPr>
                <w:rFonts w:hint="eastAsia" w:ascii="仿宋_GB2312" w:hAnsi="仿宋_GB2312" w:eastAsia="仿宋_GB2312" w:cs="仿宋_GB2312"/>
                <w:i w:val="0"/>
                <w:color w:val="auto"/>
                <w:kern w:val="0"/>
                <w:sz w:val="24"/>
                <w:szCs w:val="24"/>
                <w:u w:val="none"/>
                <w:lang w:val="en-US" w:eastAsia="zh-CN" w:bidi="ar"/>
              </w:rPr>
              <w:t>.检查对象严格按照许可范围及有关规范开展业务情况；</w:t>
            </w:r>
            <w:r>
              <w:rPr>
                <w:rFonts w:hint="eastAsia" w:asciiTheme="minorEastAsia" w:hAnsiTheme="minorEastAsia" w:eastAsiaTheme="minorEastAsia" w:cstheme="minorEastAsia"/>
                <w:i w:val="0"/>
                <w:color w:val="auto"/>
                <w:kern w:val="0"/>
                <w:sz w:val="24"/>
                <w:szCs w:val="24"/>
                <w:u w:val="none"/>
                <w:lang w:val="en-US" w:eastAsia="zh-CN" w:bidi="ar"/>
              </w:rPr>
              <w:t>3</w:t>
            </w:r>
            <w:r>
              <w:rPr>
                <w:rFonts w:hint="eastAsia" w:ascii="仿宋_GB2312" w:hAnsi="仿宋_GB2312" w:eastAsia="仿宋_GB2312" w:cs="仿宋_GB2312"/>
                <w:i w:val="0"/>
                <w:color w:val="auto"/>
                <w:kern w:val="0"/>
                <w:sz w:val="24"/>
                <w:szCs w:val="24"/>
                <w:u w:val="none"/>
                <w:lang w:val="en-US" w:eastAsia="zh-CN" w:bidi="ar"/>
              </w:rPr>
              <w:t>.检查对象申请批设时提交材料的准确性和真实性；</w:t>
            </w:r>
            <w:r>
              <w:rPr>
                <w:rFonts w:hint="eastAsia" w:asciiTheme="minorEastAsia" w:hAnsiTheme="minorEastAsia" w:eastAsiaTheme="minorEastAsia" w:cstheme="minorEastAsia"/>
                <w:i w:val="0"/>
                <w:color w:val="auto"/>
                <w:kern w:val="0"/>
                <w:sz w:val="24"/>
                <w:szCs w:val="24"/>
                <w:u w:val="none"/>
                <w:lang w:val="en-US" w:eastAsia="zh-CN" w:bidi="ar"/>
              </w:rPr>
              <w:t>4</w:t>
            </w:r>
            <w:r>
              <w:rPr>
                <w:rFonts w:hint="eastAsia" w:ascii="仿宋_GB2312" w:hAnsi="仿宋_GB2312" w:eastAsia="仿宋_GB2312" w:cs="仿宋_GB2312"/>
                <w:i w:val="0"/>
                <w:color w:val="auto"/>
                <w:kern w:val="0"/>
                <w:sz w:val="24"/>
                <w:szCs w:val="24"/>
                <w:u w:val="none"/>
                <w:lang w:val="en-US" w:eastAsia="zh-CN" w:bidi="ar"/>
              </w:rPr>
              <w:t>.被投诉举报事项核查情况；</w:t>
            </w:r>
            <w:r>
              <w:rPr>
                <w:rFonts w:hint="eastAsia" w:asciiTheme="minorEastAsia" w:hAnsiTheme="minorEastAsia" w:eastAsiaTheme="minorEastAsia" w:cstheme="minorEastAsia"/>
                <w:i w:val="0"/>
                <w:color w:val="auto"/>
                <w:kern w:val="0"/>
                <w:sz w:val="24"/>
                <w:szCs w:val="24"/>
                <w:u w:val="none"/>
                <w:lang w:val="en-US" w:eastAsia="zh-CN" w:bidi="ar"/>
              </w:rPr>
              <w:t>5</w:t>
            </w:r>
            <w:r>
              <w:rPr>
                <w:rFonts w:hint="eastAsia" w:ascii="仿宋_GB2312" w:hAnsi="仿宋_GB2312" w:eastAsia="仿宋_GB2312" w:cs="仿宋_GB2312"/>
                <w:i w:val="0"/>
                <w:color w:val="auto"/>
                <w:kern w:val="0"/>
                <w:sz w:val="24"/>
                <w:szCs w:val="24"/>
                <w:u w:val="none"/>
                <w:lang w:val="en-US" w:eastAsia="zh-CN" w:bidi="ar"/>
              </w:rPr>
              <w:t>.其他根据法律法规规章规定可以检查的内容。</w:t>
            </w:r>
          </w:p>
        </w:tc>
        <w:tc>
          <w:tcPr>
            <w:tcW w:w="2043" w:type="dxa"/>
            <w:noWrap w:val="0"/>
            <w:vAlign w:val="center"/>
          </w:tcPr>
          <w:p w14:paraId="600AFD08">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auto"/>
                <w:spacing w:val="-11"/>
                <w:kern w:val="0"/>
                <w:sz w:val="24"/>
                <w:szCs w:val="24"/>
                <w:u w:val="none"/>
                <w:lang w:val="en-US" w:eastAsia="zh-CN" w:bidi="ar"/>
              </w:rPr>
            </w:pPr>
            <w:r>
              <w:rPr>
                <w:rFonts w:hint="eastAsia" w:ascii="仿宋_GB2312" w:hAnsi="仿宋_GB2312" w:eastAsia="仿宋_GB2312" w:cs="仿宋_GB2312"/>
                <w:i w:val="0"/>
                <w:color w:val="auto"/>
                <w:spacing w:val="-11"/>
                <w:kern w:val="0"/>
                <w:sz w:val="24"/>
                <w:szCs w:val="24"/>
                <w:u w:val="none"/>
                <w:lang w:val="en-US" w:eastAsia="zh-CN" w:bidi="ar"/>
              </w:rPr>
              <w:t>“双随机、一公开”检查</w:t>
            </w:r>
          </w:p>
        </w:tc>
        <w:tc>
          <w:tcPr>
            <w:tcW w:w="1233" w:type="dxa"/>
            <w:noWrap w:val="0"/>
            <w:vAlign w:val="center"/>
          </w:tcPr>
          <w:p w14:paraId="7F377C70">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auto"/>
                <w:kern w:val="2"/>
                <w:sz w:val="24"/>
                <w:szCs w:val="24"/>
                <w:u w:val="none"/>
                <w:lang w:val="en-US" w:eastAsia="zh-CN" w:bidi="ar-SA"/>
              </w:rPr>
            </w:pPr>
            <w:r>
              <w:rPr>
                <w:rFonts w:hint="eastAsia" w:asciiTheme="minorEastAsia" w:hAnsiTheme="minorEastAsia" w:eastAsiaTheme="minorEastAsia" w:cstheme="minorEastAsia"/>
                <w:i w:val="0"/>
                <w:color w:val="auto"/>
                <w:sz w:val="24"/>
                <w:szCs w:val="24"/>
                <w:u w:val="none"/>
                <w:lang w:val="en-US"/>
              </w:rPr>
              <w:t>202</w:t>
            </w:r>
            <w:r>
              <w:rPr>
                <w:rFonts w:hint="eastAsia" w:asciiTheme="minorEastAsia" w:hAnsiTheme="minorEastAsia" w:eastAsiaTheme="minorEastAsia" w:cstheme="minorEastAsia"/>
                <w:i w:val="0"/>
                <w:color w:val="auto"/>
                <w:sz w:val="24"/>
                <w:szCs w:val="24"/>
                <w:u w:val="none"/>
                <w:lang w:val="en-US" w:eastAsia="zh-CN"/>
              </w:rPr>
              <w:t>6</w:t>
            </w:r>
            <w:r>
              <w:rPr>
                <w:rFonts w:hint="eastAsia" w:ascii="仿宋_GB2312" w:hAnsi="仿宋_GB2312" w:eastAsia="仿宋_GB2312" w:cs="仿宋_GB2312"/>
                <w:i w:val="0"/>
                <w:color w:val="auto"/>
                <w:sz w:val="24"/>
                <w:szCs w:val="24"/>
                <w:u w:val="none"/>
                <w:lang w:val="en-US" w:eastAsia="zh-CN"/>
              </w:rPr>
              <w:t>年</w:t>
            </w:r>
          </w:p>
        </w:tc>
        <w:tc>
          <w:tcPr>
            <w:tcW w:w="1633" w:type="dxa"/>
            <w:noWrap w:val="0"/>
            <w:vAlign w:val="center"/>
          </w:tcPr>
          <w:p w14:paraId="654392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市人社局</w:t>
            </w:r>
          </w:p>
        </w:tc>
      </w:tr>
      <w:tr w14:paraId="698B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563" w:type="dxa"/>
            <w:noWrap w:val="0"/>
            <w:vAlign w:val="center"/>
          </w:tcPr>
          <w:p w14:paraId="62193F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4</w:t>
            </w:r>
          </w:p>
        </w:tc>
        <w:tc>
          <w:tcPr>
            <w:tcW w:w="1644" w:type="dxa"/>
            <w:noWrap w:val="0"/>
            <w:vAlign w:val="center"/>
          </w:tcPr>
          <w:p w14:paraId="7736B0C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用人单位（与劳动者建立劳动关系）工资支付情况检查</w:t>
            </w:r>
          </w:p>
        </w:tc>
        <w:tc>
          <w:tcPr>
            <w:tcW w:w="935" w:type="dxa"/>
            <w:noWrap w:val="0"/>
            <w:vAlign w:val="center"/>
          </w:tcPr>
          <w:p w14:paraId="399D9C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rPr>
              <w:t>全市</w:t>
            </w:r>
          </w:p>
        </w:tc>
        <w:tc>
          <w:tcPr>
            <w:tcW w:w="1871" w:type="dxa"/>
            <w:noWrap w:val="0"/>
            <w:vAlign w:val="center"/>
          </w:tcPr>
          <w:p w14:paraId="72BCF80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与劳动者建立劳动关系的企业和个体工商户</w:t>
            </w:r>
          </w:p>
        </w:tc>
        <w:tc>
          <w:tcPr>
            <w:tcW w:w="1020" w:type="dxa"/>
            <w:noWrap w:val="0"/>
            <w:vAlign w:val="center"/>
          </w:tcPr>
          <w:p w14:paraId="7183D1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pacing w:val="-11"/>
                <w:sz w:val="24"/>
                <w:szCs w:val="24"/>
                <w:u w:val="none"/>
                <w:lang w:val="en-US" w:eastAsia="zh-CN"/>
              </w:rPr>
            </w:pPr>
            <w:r>
              <w:rPr>
                <w:rFonts w:hint="eastAsia" w:ascii="仿宋_GB2312" w:hAnsi="仿宋_GB2312" w:eastAsia="仿宋_GB2312" w:cs="仿宋_GB2312"/>
                <w:i w:val="0"/>
                <w:color w:val="auto"/>
                <w:spacing w:val="-11"/>
                <w:sz w:val="24"/>
                <w:szCs w:val="24"/>
                <w:u w:val="none"/>
                <w:lang w:val="en-US" w:eastAsia="zh-CN"/>
              </w:rPr>
              <w:t>每个县区不少于</w:t>
            </w:r>
            <w:r>
              <w:rPr>
                <w:rFonts w:hint="eastAsia" w:asciiTheme="minorEastAsia" w:hAnsiTheme="minorEastAsia" w:eastAsiaTheme="minorEastAsia" w:cstheme="minorEastAsia"/>
                <w:i w:val="0"/>
                <w:color w:val="auto"/>
                <w:spacing w:val="-11"/>
                <w:sz w:val="24"/>
                <w:szCs w:val="24"/>
                <w:u w:val="none"/>
                <w:lang w:val="en-US" w:eastAsia="zh-CN"/>
              </w:rPr>
              <w:t>15</w:t>
            </w:r>
            <w:r>
              <w:rPr>
                <w:rFonts w:hint="eastAsia" w:ascii="仿宋_GB2312" w:hAnsi="仿宋_GB2312" w:eastAsia="仿宋_GB2312" w:cs="仿宋_GB2312"/>
                <w:i w:val="0"/>
                <w:color w:val="auto"/>
                <w:spacing w:val="-11"/>
                <w:sz w:val="24"/>
                <w:szCs w:val="24"/>
                <w:u w:val="none"/>
                <w:lang w:val="en-US" w:eastAsia="zh-CN"/>
              </w:rPr>
              <w:t>家</w:t>
            </w:r>
          </w:p>
        </w:tc>
        <w:tc>
          <w:tcPr>
            <w:tcW w:w="3484" w:type="dxa"/>
            <w:noWrap w:val="0"/>
            <w:vAlign w:val="center"/>
          </w:tcPr>
          <w:p w14:paraId="5CB105F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用人单位支付劳动者工资和执行最低工资标准的情况</w:t>
            </w:r>
          </w:p>
        </w:tc>
        <w:tc>
          <w:tcPr>
            <w:tcW w:w="2043" w:type="dxa"/>
            <w:noWrap w:val="0"/>
            <w:vAlign w:val="center"/>
          </w:tcPr>
          <w:p w14:paraId="24493E6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pacing w:val="-11"/>
                <w:sz w:val="24"/>
                <w:szCs w:val="24"/>
                <w:u w:val="none"/>
                <w:lang w:eastAsia="zh-CN"/>
              </w:rPr>
            </w:pPr>
            <w:r>
              <w:rPr>
                <w:rFonts w:hint="eastAsia" w:ascii="仿宋_GB2312" w:hAnsi="仿宋_GB2312" w:eastAsia="仿宋_GB2312" w:cs="仿宋_GB2312"/>
                <w:i w:val="0"/>
                <w:color w:val="auto"/>
                <w:spacing w:val="-11"/>
                <w:kern w:val="0"/>
                <w:sz w:val="24"/>
                <w:szCs w:val="24"/>
                <w:u w:val="none"/>
                <w:lang w:val="en-US" w:eastAsia="zh-CN" w:bidi="ar"/>
              </w:rPr>
              <w:t>“双随机、一公开”检查</w:t>
            </w:r>
          </w:p>
        </w:tc>
        <w:tc>
          <w:tcPr>
            <w:tcW w:w="1233" w:type="dxa"/>
            <w:noWrap w:val="0"/>
            <w:vAlign w:val="center"/>
          </w:tcPr>
          <w:p w14:paraId="4B9013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Theme="minorEastAsia" w:hAnsiTheme="minorEastAsia" w:eastAsiaTheme="minorEastAsia" w:cstheme="minorEastAsia"/>
                <w:i w:val="0"/>
                <w:color w:val="auto"/>
                <w:sz w:val="24"/>
                <w:szCs w:val="24"/>
                <w:u w:val="none"/>
                <w:lang w:val="en-US" w:eastAsia="zh-CN"/>
              </w:rPr>
              <w:t>2026</w:t>
            </w:r>
            <w:r>
              <w:rPr>
                <w:rFonts w:hint="eastAsia" w:ascii="仿宋_GB2312" w:hAnsi="仿宋_GB2312" w:eastAsia="仿宋_GB2312" w:cs="仿宋_GB2312"/>
                <w:i w:val="0"/>
                <w:color w:val="auto"/>
                <w:sz w:val="24"/>
                <w:szCs w:val="24"/>
                <w:u w:val="none"/>
                <w:lang w:val="en-US" w:eastAsia="zh-CN"/>
              </w:rPr>
              <w:t>年</w:t>
            </w:r>
          </w:p>
          <w:p w14:paraId="680AA0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下半年</w:t>
            </w:r>
          </w:p>
        </w:tc>
        <w:tc>
          <w:tcPr>
            <w:tcW w:w="1633" w:type="dxa"/>
            <w:noWrap w:val="0"/>
            <w:vAlign w:val="center"/>
          </w:tcPr>
          <w:p w14:paraId="3AC007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市县人社</w:t>
            </w:r>
            <w:r>
              <w:rPr>
                <w:rFonts w:hint="eastAsia" w:ascii="仿宋_GB2312" w:hAnsi="仿宋_GB2312" w:eastAsia="仿宋_GB2312" w:cs="仿宋_GB2312"/>
                <w:i w:val="0"/>
                <w:color w:val="auto"/>
                <w:kern w:val="0"/>
                <w:sz w:val="24"/>
                <w:szCs w:val="24"/>
                <w:u w:val="none"/>
                <w:lang w:val="en-US" w:eastAsia="zh-CN" w:bidi="ar"/>
              </w:rPr>
              <w:t>（民政和人社局）</w:t>
            </w:r>
            <w:r>
              <w:rPr>
                <w:rFonts w:hint="eastAsia" w:ascii="仿宋_GB2312" w:hAnsi="仿宋_GB2312" w:eastAsia="仿宋_GB2312" w:cs="仿宋_GB2312"/>
                <w:i w:val="0"/>
                <w:color w:val="auto"/>
                <w:sz w:val="24"/>
                <w:szCs w:val="24"/>
                <w:u w:val="none"/>
                <w:lang w:eastAsia="zh-CN"/>
              </w:rPr>
              <w:t>、市场监管、税务、住房城乡建设、交通运输部门</w:t>
            </w:r>
          </w:p>
        </w:tc>
      </w:tr>
      <w:tr w14:paraId="27CB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563" w:type="dxa"/>
            <w:noWrap w:val="0"/>
            <w:vAlign w:val="center"/>
          </w:tcPr>
          <w:p w14:paraId="293217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Theme="minorEastAsia" w:hAnsiTheme="minorEastAsia" w:eastAsiaTheme="minorEastAsia" w:cstheme="minorEastAsia"/>
                <w:i w:val="0"/>
                <w:color w:val="auto"/>
                <w:sz w:val="24"/>
                <w:szCs w:val="24"/>
                <w:u w:val="none"/>
                <w:lang w:val="en-US" w:eastAsia="zh-CN"/>
              </w:rPr>
              <w:t>5</w:t>
            </w:r>
          </w:p>
        </w:tc>
        <w:tc>
          <w:tcPr>
            <w:tcW w:w="1644" w:type="dxa"/>
            <w:noWrap w:val="0"/>
            <w:vAlign w:val="center"/>
          </w:tcPr>
          <w:p w14:paraId="77899C9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auto"/>
                <w:sz w:val="24"/>
                <w:szCs w:val="24"/>
                <w:u w:val="none"/>
                <w:lang w:val="en-US" w:eastAsia="zh-CN"/>
              </w:rPr>
            </w:pPr>
            <w:r>
              <w:rPr>
                <w:rFonts w:hint="eastAsia" w:asciiTheme="minorEastAsia" w:hAnsiTheme="minorEastAsia" w:eastAsiaTheme="minorEastAsia" w:cstheme="minorEastAsia"/>
                <w:i w:val="0"/>
                <w:color w:val="auto"/>
                <w:sz w:val="24"/>
                <w:szCs w:val="24"/>
                <w:u w:val="none"/>
                <w:lang w:val="en-US" w:eastAsia="zh-CN"/>
              </w:rPr>
              <w:t>400</w:t>
            </w:r>
            <w:r>
              <w:rPr>
                <w:rFonts w:hint="eastAsia" w:ascii="仿宋_GB2312" w:hAnsi="仿宋_GB2312" w:eastAsia="仿宋_GB2312" w:cs="仿宋_GB2312"/>
                <w:i w:val="0"/>
                <w:color w:val="auto"/>
                <w:sz w:val="24"/>
                <w:szCs w:val="24"/>
                <w:u w:val="none"/>
                <w:lang w:val="en-US" w:eastAsia="zh-CN"/>
              </w:rPr>
              <w:t>万以下政府、国企工程建设项目农民工工资支付工作检查</w:t>
            </w:r>
          </w:p>
        </w:tc>
        <w:tc>
          <w:tcPr>
            <w:tcW w:w="935" w:type="dxa"/>
            <w:noWrap w:val="0"/>
            <w:vAlign w:val="center"/>
          </w:tcPr>
          <w:p w14:paraId="3710E9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lang w:eastAsia="zh-CN"/>
              </w:rPr>
              <w:t>全市</w:t>
            </w:r>
          </w:p>
        </w:tc>
        <w:tc>
          <w:tcPr>
            <w:tcW w:w="1871" w:type="dxa"/>
            <w:noWrap w:val="0"/>
            <w:vAlign w:val="center"/>
          </w:tcPr>
          <w:p w14:paraId="1FE4473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auto"/>
                <w:sz w:val="24"/>
                <w:szCs w:val="24"/>
                <w:u w:val="none"/>
                <w:lang w:eastAsia="zh-CN"/>
              </w:rPr>
            </w:pPr>
            <w:r>
              <w:rPr>
                <w:rFonts w:hint="eastAsia" w:asciiTheme="minorEastAsia" w:hAnsiTheme="minorEastAsia" w:eastAsiaTheme="minorEastAsia" w:cstheme="minorEastAsia"/>
                <w:i w:val="0"/>
                <w:color w:val="auto"/>
                <w:sz w:val="24"/>
                <w:szCs w:val="24"/>
                <w:u w:val="none"/>
                <w:lang w:val="en-US" w:eastAsia="zh-CN"/>
              </w:rPr>
              <w:t>400</w:t>
            </w:r>
            <w:r>
              <w:rPr>
                <w:rFonts w:hint="eastAsia" w:ascii="仿宋_GB2312" w:hAnsi="仿宋_GB2312" w:eastAsia="仿宋_GB2312" w:cs="仿宋_GB2312"/>
                <w:i w:val="0"/>
                <w:color w:val="auto"/>
                <w:sz w:val="24"/>
                <w:szCs w:val="24"/>
                <w:u w:val="none"/>
                <w:lang w:val="en-US" w:eastAsia="zh-CN"/>
              </w:rPr>
              <w:t>万以下政府、国企</w:t>
            </w:r>
            <w:r>
              <w:rPr>
                <w:rFonts w:hint="eastAsia" w:ascii="仿宋_GB2312" w:hAnsi="仿宋_GB2312" w:eastAsia="仿宋_GB2312" w:cs="仿宋_GB2312"/>
                <w:i w:val="0"/>
                <w:color w:val="auto"/>
                <w:sz w:val="24"/>
                <w:szCs w:val="24"/>
                <w:u w:val="none"/>
                <w:lang w:eastAsia="zh-CN"/>
              </w:rPr>
              <w:t>工程建设在建项目</w:t>
            </w:r>
          </w:p>
        </w:tc>
        <w:tc>
          <w:tcPr>
            <w:tcW w:w="1020" w:type="dxa"/>
            <w:noWrap w:val="0"/>
            <w:vAlign w:val="center"/>
          </w:tcPr>
          <w:p w14:paraId="48B4E4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pacing w:val="-11"/>
                <w:sz w:val="24"/>
                <w:szCs w:val="24"/>
                <w:u w:val="none"/>
                <w:lang w:val="en-US" w:eastAsia="zh-CN"/>
              </w:rPr>
            </w:pPr>
            <w:r>
              <w:rPr>
                <w:rFonts w:hint="eastAsia" w:ascii="仿宋_GB2312" w:hAnsi="仿宋_GB2312" w:eastAsia="仿宋_GB2312" w:cs="仿宋_GB2312"/>
                <w:i w:val="0"/>
                <w:color w:val="auto"/>
                <w:spacing w:val="-11"/>
                <w:sz w:val="24"/>
                <w:szCs w:val="24"/>
                <w:u w:val="none"/>
                <w:lang w:val="en-US" w:eastAsia="zh-CN"/>
              </w:rPr>
              <w:t>不少于</w:t>
            </w:r>
            <w:r>
              <w:rPr>
                <w:rFonts w:hint="eastAsia" w:asciiTheme="minorEastAsia" w:hAnsiTheme="minorEastAsia" w:eastAsiaTheme="minorEastAsia" w:cstheme="minorEastAsia"/>
                <w:i w:val="0"/>
                <w:color w:val="auto"/>
                <w:spacing w:val="-11"/>
                <w:sz w:val="24"/>
                <w:szCs w:val="24"/>
                <w:u w:val="none"/>
                <w:lang w:val="en-US" w:eastAsia="zh-CN"/>
              </w:rPr>
              <w:t>20</w:t>
            </w:r>
            <w:r>
              <w:rPr>
                <w:rFonts w:hint="eastAsia" w:ascii="仿宋_GB2312" w:hAnsi="仿宋_GB2312" w:eastAsia="仿宋_GB2312" w:cs="仿宋_GB2312"/>
                <w:i w:val="0"/>
                <w:color w:val="auto"/>
                <w:spacing w:val="-11"/>
                <w:sz w:val="24"/>
                <w:szCs w:val="24"/>
                <w:u w:val="none"/>
                <w:lang w:val="en-US" w:eastAsia="zh-CN"/>
              </w:rPr>
              <w:t>家</w:t>
            </w:r>
          </w:p>
        </w:tc>
        <w:tc>
          <w:tcPr>
            <w:tcW w:w="3484" w:type="dxa"/>
            <w:noWrap w:val="0"/>
            <w:vAlign w:val="center"/>
          </w:tcPr>
          <w:p w14:paraId="1E4664D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1</w:t>
            </w:r>
            <w:r>
              <w:rPr>
                <w:rFonts w:hint="eastAsia" w:ascii="仿宋_GB2312" w:hAnsi="仿宋_GB2312" w:eastAsia="仿宋_GB2312" w:cs="仿宋_GB2312"/>
                <w:i w:val="0"/>
                <w:color w:val="auto"/>
                <w:kern w:val="0"/>
                <w:sz w:val="24"/>
                <w:szCs w:val="24"/>
                <w:u w:val="none"/>
                <w:lang w:val="en-US" w:eastAsia="zh-CN" w:bidi="ar"/>
              </w:rPr>
              <w:t>、检查各参建单位落实农民工工资支付保障制度情况；</w:t>
            </w:r>
            <w:r>
              <w:rPr>
                <w:rFonts w:hint="eastAsia" w:asciiTheme="minorEastAsia" w:hAnsiTheme="minorEastAsia" w:eastAsiaTheme="minorEastAsia" w:cstheme="minorEastAsia"/>
                <w:i w:val="0"/>
                <w:color w:val="auto"/>
                <w:kern w:val="0"/>
                <w:sz w:val="24"/>
                <w:szCs w:val="24"/>
                <w:u w:val="none"/>
                <w:lang w:val="en-US" w:eastAsia="zh-CN" w:bidi="ar"/>
              </w:rPr>
              <w:t>2</w:t>
            </w:r>
            <w:r>
              <w:rPr>
                <w:rFonts w:hint="eastAsia" w:ascii="仿宋_GB2312" w:hAnsi="仿宋_GB2312" w:eastAsia="仿宋_GB2312" w:cs="仿宋_GB2312"/>
                <w:i w:val="0"/>
                <w:color w:val="auto"/>
                <w:kern w:val="0"/>
                <w:sz w:val="24"/>
                <w:szCs w:val="24"/>
                <w:u w:val="none"/>
                <w:lang w:val="en-US" w:eastAsia="zh-CN" w:bidi="ar"/>
              </w:rPr>
              <w:t>、检查项目农民工工资支付情况</w:t>
            </w:r>
          </w:p>
        </w:tc>
        <w:tc>
          <w:tcPr>
            <w:tcW w:w="2043" w:type="dxa"/>
            <w:noWrap w:val="0"/>
            <w:vAlign w:val="center"/>
          </w:tcPr>
          <w:p w14:paraId="04FB53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pacing w:val="-11"/>
                <w:kern w:val="0"/>
                <w:sz w:val="24"/>
                <w:szCs w:val="24"/>
                <w:u w:val="none"/>
                <w:lang w:val="en-US" w:eastAsia="zh-CN" w:bidi="ar"/>
              </w:rPr>
            </w:pPr>
            <w:r>
              <w:rPr>
                <w:rFonts w:hint="eastAsia" w:ascii="仿宋_GB2312" w:hAnsi="仿宋_GB2312" w:eastAsia="仿宋_GB2312" w:cs="仿宋_GB2312"/>
                <w:i w:val="0"/>
                <w:color w:val="auto"/>
                <w:spacing w:val="-11"/>
                <w:kern w:val="0"/>
                <w:sz w:val="24"/>
                <w:szCs w:val="24"/>
                <w:u w:val="none"/>
                <w:lang w:val="en-US" w:eastAsia="zh-CN" w:bidi="ar"/>
              </w:rPr>
              <w:t>“双随机、一公开”检查</w:t>
            </w:r>
          </w:p>
        </w:tc>
        <w:tc>
          <w:tcPr>
            <w:tcW w:w="1233" w:type="dxa"/>
            <w:noWrap w:val="0"/>
            <w:vAlign w:val="center"/>
          </w:tcPr>
          <w:p w14:paraId="0EAD5A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每季度</w:t>
            </w:r>
          </w:p>
        </w:tc>
        <w:tc>
          <w:tcPr>
            <w:tcW w:w="1633" w:type="dxa"/>
            <w:noWrap w:val="0"/>
            <w:vAlign w:val="center"/>
          </w:tcPr>
          <w:p w14:paraId="046ACC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市县人社</w:t>
            </w:r>
            <w:r>
              <w:rPr>
                <w:rFonts w:hint="eastAsia" w:ascii="仿宋_GB2312" w:hAnsi="仿宋_GB2312" w:eastAsia="仿宋_GB2312" w:cs="仿宋_GB2312"/>
                <w:i w:val="0"/>
                <w:color w:val="auto"/>
                <w:kern w:val="0"/>
                <w:sz w:val="24"/>
                <w:szCs w:val="24"/>
                <w:u w:val="none"/>
                <w:lang w:val="en-US" w:eastAsia="zh-CN" w:bidi="ar"/>
              </w:rPr>
              <w:t>（民政和人社局）</w:t>
            </w:r>
            <w:r>
              <w:rPr>
                <w:rFonts w:hint="eastAsia" w:ascii="仿宋_GB2312" w:hAnsi="仿宋_GB2312" w:eastAsia="仿宋_GB2312" w:cs="仿宋_GB2312"/>
                <w:i w:val="0"/>
                <w:color w:val="auto"/>
                <w:sz w:val="24"/>
                <w:szCs w:val="24"/>
                <w:u w:val="none"/>
                <w:lang w:eastAsia="zh-CN"/>
              </w:rPr>
              <w:t>、住建、水利、交通运输部门</w:t>
            </w:r>
          </w:p>
        </w:tc>
      </w:tr>
      <w:tr w14:paraId="4A4E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563" w:type="dxa"/>
            <w:noWrap w:val="0"/>
            <w:vAlign w:val="center"/>
          </w:tcPr>
          <w:p w14:paraId="091571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Theme="minorEastAsia" w:hAnsiTheme="minorEastAsia" w:eastAsiaTheme="minorEastAsia" w:cstheme="minorEastAsia"/>
                <w:i w:val="0"/>
                <w:color w:val="auto"/>
                <w:sz w:val="24"/>
                <w:szCs w:val="24"/>
                <w:u w:val="none"/>
                <w:lang w:val="en-US" w:eastAsia="zh-CN"/>
              </w:rPr>
              <w:t>6</w:t>
            </w:r>
          </w:p>
        </w:tc>
        <w:tc>
          <w:tcPr>
            <w:tcW w:w="1644" w:type="dxa"/>
            <w:noWrap w:val="0"/>
            <w:vAlign w:val="center"/>
          </w:tcPr>
          <w:p w14:paraId="2776F3E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履约评价检查</w:t>
            </w:r>
          </w:p>
        </w:tc>
        <w:tc>
          <w:tcPr>
            <w:tcW w:w="935" w:type="dxa"/>
            <w:noWrap w:val="0"/>
            <w:vAlign w:val="center"/>
          </w:tcPr>
          <w:p w14:paraId="38DB0C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lang w:eastAsia="zh-CN"/>
              </w:rPr>
              <w:t>市本级</w:t>
            </w:r>
          </w:p>
        </w:tc>
        <w:tc>
          <w:tcPr>
            <w:tcW w:w="1871" w:type="dxa"/>
            <w:noWrap w:val="0"/>
            <w:vAlign w:val="center"/>
          </w:tcPr>
          <w:p w14:paraId="574D451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房建和市政在建工程项目</w:t>
            </w:r>
          </w:p>
        </w:tc>
        <w:tc>
          <w:tcPr>
            <w:tcW w:w="1020" w:type="dxa"/>
            <w:noWrap w:val="0"/>
            <w:vAlign w:val="center"/>
          </w:tcPr>
          <w:p w14:paraId="67925A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pacing w:val="-11"/>
                <w:sz w:val="24"/>
                <w:szCs w:val="24"/>
                <w:u w:val="none"/>
                <w:lang w:val="en-US" w:eastAsia="zh-CN"/>
              </w:rPr>
            </w:pPr>
            <w:r>
              <w:rPr>
                <w:rFonts w:hint="eastAsia" w:asciiTheme="minorEastAsia" w:hAnsiTheme="minorEastAsia" w:eastAsiaTheme="minorEastAsia" w:cstheme="minorEastAsia"/>
                <w:i w:val="0"/>
                <w:color w:val="auto"/>
                <w:spacing w:val="-11"/>
                <w:sz w:val="24"/>
                <w:szCs w:val="24"/>
                <w:u w:val="none"/>
                <w:lang w:val="en-US" w:eastAsia="zh-CN"/>
              </w:rPr>
              <w:t>100</w:t>
            </w:r>
            <w:r>
              <w:rPr>
                <w:rFonts w:hint="eastAsia" w:ascii="仿宋_GB2312" w:hAnsi="仿宋_GB2312" w:eastAsia="仿宋_GB2312" w:cs="仿宋_GB2312"/>
                <w:i w:val="0"/>
                <w:color w:val="auto"/>
                <w:spacing w:val="-11"/>
                <w:sz w:val="24"/>
                <w:szCs w:val="24"/>
                <w:u w:val="none"/>
                <w:lang w:val="en-US" w:eastAsia="zh-CN"/>
              </w:rPr>
              <w:t>%</w:t>
            </w:r>
          </w:p>
        </w:tc>
        <w:tc>
          <w:tcPr>
            <w:tcW w:w="3484" w:type="dxa"/>
            <w:noWrap w:val="0"/>
            <w:vAlign w:val="center"/>
          </w:tcPr>
          <w:p w14:paraId="3ADDD14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1</w:t>
            </w:r>
            <w:r>
              <w:rPr>
                <w:rFonts w:hint="eastAsia" w:ascii="仿宋_GB2312" w:hAnsi="仿宋_GB2312" w:eastAsia="仿宋_GB2312" w:cs="仿宋_GB2312"/>
                <w:i w:val="0"/>
                <w:color w:val="auto"/>
                <w:kern w:val="0"/>
                <w:sz w:val="24"/>
                <w:szCs w:val="24"/>
                <w:u w:val="none"/>
                <w:lang w:val="en-US" w:eastAsia="zh-CN" w:bidi="ar"/>
              </w:rPr>
              <w:t>、检查各参建单位落实农民工工资支付保障制度情况；</w:t>
            </w:r>
            <w:r>
              <w:rPr>
                <w:rFonts w:hint="eastAsia" w:asciiTheme="minorEastAsia" w:hAnsiTheme="minorEastAsia" w:eastAsiaTheme="minorEastAsia" w:cstheme="minorEastAsia"/>
                <w:i w:val="0"/>
                <w:color w:val="auto"/>
                <w:kern w:val="0"/>
                <w:sz w:val="24"/>
                <w:szCs w:val="24"/>
                <w:u w:val="none"/>
                <w:lang w:val="en-US" w:eastAsia="zh-CN" w:bidi="ar"/>
              </w:rPr>
              <w:t>2</w:t>
            </w:r>
            <w:r>
              <w:rPr>
                <w:rFonts w:hint="eastAsia" w:ascii="仿宋_GB2312" w:hAnsi="仿宋_GB2312" w:eastAsia="仿宋_GB2312" w:cs="仿宋_GB2312"/>
                <w:i w:val="0"/>
                <w:color w:val="auto"/>
                <w:kern w:val="0"/>
                <w:sz w:val="24"/>
                <w:szCs w:val="24"/>
                <w:u w:val="none"/>
                <w:lang w:val="en-US" w:eastAsia="zh-CN" w:bidi="ar"/>
              </w:rPr>
              <w:t>、检查项目农民工工资支付情况</w:t>
            </w:r>
          </w:p>
        </w:tc>
        <w:tc>
          <w:tcPr>
            <w:tcW w:w="2043" w:type="dxa"/>
            <w:noWrap w:val="0"/>
            <w:vAlign w:val="center"/>
          </w:tcPr>
          <w:p w14:paraId="7F708B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pacing w:val="-11"/>
                <w:kern w:val="0"/>
                <w:sz w:val="24"/>
                <w:szCs w:val="24"/>
                <w:u w:val="none"/>
                <w:lang w:val="en-US" w:eastAsia="zh-CN" w:bidi="ar"/>
              </w:rPr>
            </w:pPr>
            <w:r>
              <w:rPr>
                <w:rFonts w:hint="eastAsia" w:ascii="仿宋_GB2312" w:hAnsi="仿宋_GB2312" w:eastAsia="仿宋_GB2312" w:cs="仿宋_GB2312"/>
                <w:i w:val="0"/>
                <w:color w:val="auto"/>
                <w:spacing w:val="-11"/>
                <w:kern w:val="0"/>
                <w:sz w:val="24"/>
                <w:szCs w:val="24"/>
                <w:u w:val="none"/>
                <w:lang w:val="en-US" w:eastAsia="zh-CN" w:bidi="ar"/>
              </w:rPr>
              <w:t>日常检查</w:t>
            </w:r>
          </w:p>
        </w:tc>
        <w:tc>
          <w:tcPr>
            <w:tcW w:w="1233" w:type="dxa"/>
            <w:noWrap w:val="0"/>
            <w:vAlign w:val="center"/>
          </w:tcPr>
          <w:p w14:paraId="520B3E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每季度</w:t>
            </w:r>
          </w:p>
        </w:tc>
        <w:tc>
          <w:tcPr>
            <w:tcW w:w="1633" w:type="dxa"/>
            <w:noWrap w:val="0"/>
            <w:vAlign w:val="center"/>
          </w:tcPr>
          <w:p w14:paraId="310994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市人社局</w:t>
            </w:r>
          </w:p>
          <w:p w14:paraId="430829A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市住建局</w:t>
            </w:r>
          </w:p>
        </w:tc>
      </w:tr>
    </w:tbl>
    <w:p w14:paraId="283DA939">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仿宋_GB2312" w:hAnsi="仿宋_GB2312" w:eastAsia="仿宋_GB2312" w:cs="仿宋_GB2312"/>
          <w:sz w:val="24"/>
          <w:szCs w:val="20"/>
          <w:lang w:eastAsia="zh-CN"/>
        </w:rPr>
      </w:pPr>
      <w:r>
        <w:rPr>
          <w:rFonts w:hint="eastAsia" w:ascii="仿宋_GB2312" w:hAnsi="仿宋_GB2312" w:eastAsia="仿宋_GB2312" w:cs="仿宋_GB2312"/>
          <w:sz w:val="24"/>
          <w:szCs w:val="20"/>
          <w:lang w:eastAsia="zh-CN"/>
        </w:rPr>
        <w:t>注：具体抽查时间以及抽查对象以实际为准。抽查配合单位是指牵头组织跨部门联合抽查的配合单位。抽查计划应盖本单位</w:t>
      </w:r>
    </w:p>
    <w:p w14:paraId="66DDED30">
      <w:pPr>
        <w:keepNext w:val="0"/>
        <w:keepLines w:val="0"/>
        <w:pageBreakBefore w:val="0"/>
        <w:widowControl w:val="0"/>
        <w:kinsoku/>
        <w:wordWrap/>
        <w:overflowPunct/>
        <w:topLinePunct w:val="0"/>
        <w:autoSpaceDE/>
        <w:autoSpaceDN/>
        <w:bidi w:val="0"/>
        <w:adjustRightInd/>
        <w:snapToGrid/>
        <w:spacing w:line="400" w:lineRule="exact"/>
        <w:ind w:right="0" w:rightChars="0" w:firstLine="472" w:firstLineChars="200"/>
        <w:textAlignment w:val="auto"/>
        <w:rPr>
          <w:rFonts w:hint="eastAsia" w:ascii="仿宋_GB2312" w:hAnsi="仿宋_GB2312" w:eastAsia="仿宋_GB2312" w:cs="仿宋_GB2312"/>
          <w:sz w:val="24"/>
          <w:szCs w:val="20"/>
          <w:lang w:eastAsia="zh-CN"/>
        </w:rPr>
        <w:sectPr>
          <w:pgSz w:w="16838" w:h="11906" w:orient="landscape"/>
          <w:pgMar w:top="1531" w:right="2098" w:bottom="1531" w:left="1985" w:header="851" w:footer="1588" w:gutter="0"/>
          <w:pgNumType w:fmt="numberInDash"/>
          <w:cols w:space="425" w:num="1"/>
          <w:docGrid w:type="linesAndChars" w:linePitch="579" w:charSpace="-849"/>
        </w:sectPr>
      </w:pPr>
      <w:r>
        <w:rPr>
          <w:rFonts w:hint="eastAsia" w:ascii="仿宋_GB2312" w:hAnsi="仿宋_GB2312" w:eastAsia="仿宋_GB2312" w:cs="仿宋_GB2312"/>
          <w:sz w:val="24"/>
          <w:szCs w:val="20"/>
          <w:lang w:eastAsia="zh-CN"/>
        </w:rPr>
        <w:t>双随机抽查事项清单全部内容。</w:t>
      </w:r>
    </w:p>
    <w:p w14:paraId="1C70E4E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cs="仿宋_GB2312"/>
          <w:lang w:eastAsia="zh-CN"/>
        </w:rPr>
      </w:pPr>
    </w:p>
    <w:p w14:paraId="58694E1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cs="仿宋_GB2312"/>
          <w:lang w:eastAsia="zh-CN"/>
        </w:rPr>
      </w:pPr>
    </w:p>
    <w:p w14:paraId="7711056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cs="仿宋_GB2312"/>
          <w:lang w:eastAsia="zh-CN"/>
        </w:rPr>
      </w:pPr>
    </w:p>
    <w:p w14:paraId="0CDE1B40">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cs="仿宋_GB2312"/>
          <w:lang w:eastAsia="zh-CN"/>
        </w:rPr>
      </w:pPr>
    </w:p>
    <w:p w14:paraId="6C309DE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cs="仿宋_GB2312"/>
          <w:lang w:eastAsia="zh-CN"/>
        </w:rPr>
      </w:pPr>
    </w:p>
    <w:p w14:paraId="49950CC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cs="仿宋_GB2312"/>
          <w:lang w:eastAsia="zh-CN"/>
        </w:rPr>
      </w:pPr>
    </w:p>
    <w:p w14:paraId="7C1F7140">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cs="仿宋_GB2312"/>
          <w:lang w:eastAsia="zh-CN"/>
        </w:rPr>
      </w:pPr>
    </w:p>
    <w:p w14:paraId="79AA69C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cs="仿宋_GB2312"/>
          <w:lang w:eastAsia="zh-CN"/>
        </w:rPr>
      </w:pPr>
    </w:p>
    <w:p w14:paraId="7EB1C07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cs="仿宋_GB2312"/>
          <w:lang w:eastAsia="zh-CN"/>
        </w:rPr>
      </w:pPr>
    </w:p>
    <w:p w14:paraId="1104BF6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cs="仿宋_GB2312"/>
          <w:lang w:eastAsia="zh-CN"/>
        </w:rPr>
      </w:pPr>
    </w:p>
    <w:p w14:paraId="4B9B309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cs="仿宋_GB2312"/>
          <w:lang w:eastAsia="zh-CN"/>
        </w:rPr>
      </w:pPr>
    </w:p>
    <w:p w14:paraId="3B7C9F0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cs="仿宋_GB2312"/>
          <w:lang w:eastAsia="zh-CN"/>
        </w:rPr>
      </w:pPr>
    </w:p>
    <w:p w14:paraId="15D826D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cs="仿宋_GB2312"/>
          <w:lang w:eastAsia="zh-CN"/>
        </w:rPr>
      </w:pPr>
    </w:p>
    <w:p w14:paraId="0699BA4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cs="仿宋_GB2312"/>
          <w:lang w:eastAsia="zh-CN"/>
        </w:rPr>
      </w:pPr>
    </w:p>
    <w:p w14:paraId="4F2168C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cs="仿宋_GB2312"/>
          <w:lang w:eastAsia="zh-CN"/>
        </w:rPr>
      </w:pPr>
    </w:p>
    <w:p w14:paraId="3961101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cs="仿宋_GB2312"/>
          <w:lang w:eastAsia="zh-CN"/>
        </w:rPr>
      </w:pPr>
    </w:p>
    <w:p w14:paraId="3E4A1E9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FC2280"/>
    <w:multiLevelType w:val="singleLevel"/>
    <w:tmpl w:val="7DFC228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CD2BC2"/>
    <w:rsid w:val="5ACD2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2026-05-13T09:12:00Z</dcterms:created>
  <dc:creator>Lenovo</dc:creator>
  <cp:lastModifiedBy>Lenovo</cp:lastModifiedBy>
  <dcterms:modified xsi:type="dcterms:W3CDTF">2026-05-13T09:13:00Z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02F91FC8824C4303A5948DD5359D252A_11</vt:lpwstr>
  </property>
  <property fmtid="{D5CDD505-2E9C-101B-9397-08002B2CF9AE}" pid="4" name="KSOTemplateDocerSaveRecord">
    <vt:lpwstr>eyJoZGlkIjoiMGNkMDc3ZjRiZWEwZWViZDdhZDIyYTA4N2E0Njk4NWMifQ==</vt:lpwstr>
  </property>
</Properties>
</file>