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3D" w:rsidRDefault="0087241F">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三明市人力资源和社会保障局</w:t>
      </w:r>
    </w:p>
    <w:p w:rsidR="00E8413D" w:rsidRDefault="0087241F">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2022年“谁执法、谁普法”工作计划</w:t>
      </w:r>
    </w:p>
    <w:p w:rsidR="00E8413D" w:rsidRDefault="00E8413D">
      <w:pPr>
        <w:spacing w:line="560" w:lineRule="exact"/>
        <w:ind w:firstLineChars="200" w:firstLine="632"/>
        <w:rPr>
          <w:rFonts w:ascii="仿宋_GB2312" w:hAnsi="仿宋_GB2312" w:cs="仿宋_GB2312"/>
        </w:rPr>
      </w:pPr>
    </w:p>
    <w:p w:rsidR="00E8413D" w:rsidRDefault="0087241F">
      <w:pPr>
        <w:spacing w:line="560" w:lineRule="exact"/>
        <w:ind w:firstLineChars="200" w:firstLine="632"/>
        <w:rPr>
          <w:rFonts w:ascii="仿宋_GB2312" w:hAnsi="仿宋_GB2312" w:cs="仿宋_GB2312"/>
        </w:rPr>
      </w:pPr>
      <w:r>
        <w:rPr>
          <w:rFonts w:ascii="仿宋_GB2312" w:hAnsi="仿宋_GB2312" w:cs="仿宋_GB2312" w:hint="eastAsia"/>
        </w:rPr>
        <w:t>为认真贯彻落实“国家机关‘谁执法谁普法’的普法责任制”，根据市依法治市办《关于印发&lt;三明市实行“谁执法谁普法”责任制实施意见&gt;的通知》（明治市办〔2017〕5号）和《关于落实和调整充实国家机关“谁执法谁普法”责任制责任清单的通知》要求，结合我局工作实际，现制定如下2022年“谁执法、谁普法”工作计划：</w:t>
      </w:r>
    </w:p>
    <w:p w:rsidR="00E8413D" w:rsidRDefault="0087241F">
      <w:pPr>
        <w:spacing w:line="560" w:lineRule="exact"/>
        <w:ind w:firstLineChars="200" w:firstLine="632"/>
        <w:rPr>
          <w:rFonts w:ascii="黑体" w:eastAsia="黑体" w:hAnsi="黑体" w:cs="黑体"/>
        </w:rPr>
      </w:pPr>
      <w:r>
        <w:rPr>
          <w:rFonts w:ascii="黑体" w:eastAsia="黑体" w:hAnsi="黑体" w:cs="黑体" w:hint="eastAsia"/>
        </w:rPr>
        <w:t>一、指导思想</w:t>
      </w:r>
    </w:p>
    <w:p w:rsidR="00E8413D" w:rsidRDefault="0087241F">
      <w:pPr>
        <w:spacing w:line="560" w:lineRule="exact"/>
        <w:ind w:firstLineChars="200" w:firstLine="632"/>
        <w:rPr>
          <w:rFonts w:ascii="仿宋_GB2312" w:hAnsi="仿宋_GB2312" w:cs="仿宋_GB2312"/>
        </w:rPr>
      </w:pPr>
      <w:r>
        <w:rPr>
          <w:rFonts w:ascii="仿宋_GB2312" w:hAnsi="仿宋_GB2312" w:cs="仿宋_GB2312" w:hint="eastAsia"/>
        </w:rPr>
        <w:t>坚持以马克思列宁主义、毛泽东思想、邓小平理论、“三个代表”重要思想、科学发展观、习近平新时代中国特色社会主义思想为指导，全面贯彻党的十九大和十九届历次全会精神，深入贯彻习近平法治思想，贯彻落实习近平总书记来闽、来明考察时的重要讲话精神，始终增强“四个意识”,坚定“四个自信”,做到“两个维护”,捍卫“两个确立”，坚定不移走中国特色社会主义法治道路。以持续提升人社系统工作人员、用人单位、劳动者法治素养为重点，以提高普法针对性和实效性为工作着力点，完善和落实“谁执法谁普法”普法责任制，建设更高水平的“平安三明”，更好服务保障建设“一区六城”，为奋力谱写三明全方位高质量发展新篇章创造和谐稳定的社会环境和良好的法治环境。</w:t>
      </w:r>
    </w:p>
    <w:p w:rsidR="00E8413D" w:rsidRDefault="0087241F">
      <w:pPr>
        <w:spacing w:line="560" w:lineRule="exact"/>
        <w:ind w:firstLineChars="200" w:firstLine="632"/>
        <w:rPr>
          <w:rFonts w:ascii="黑体" w:eastAsia="黑体" w:hAnsi="黑体" w:cs="黑体"/>
        </w:rPr>
      </w:pPr>
      <w:r>
        <w:rPr>
          <w:rFonts w:ascii="黑体" w:eastAsia="黑体" w:hAnsi="黑体" w:cs="黑体" w:hint="eastAsia"/>
        </w:rPr>
        <w:t>二、工作重点</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lastRenderedPageBreak/>
        <w:t>（一）深入学习宣传习近平法治思想。</w:t>
      </w:r>
      <w:r>
        <w:rPr>
          <w:rFonts w:ascii="仿宋_GB2312" w:hAnsi="仿宋_GB2312" w:cs="仿宋_GB2312" w:hint="eastAsia"/>
        </w:rPr>
        <w:t>贯彻习近平法治思想的重大意义、丰富内涵、精神实质和实践要求，积极宣传中国特色社会主义法律体系，坚持领导干部带头学习、模范践行习近平法治思想，认真学习《习近平法治思想学习纲要》，将习近平法治思想作为党委(党组)理论学习中心组学习重点内容，引导全市人社系统坚定不移走中国特色社会主义法治道路。</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（二）注重学习宣传人力资源社会保障法律法规。</w:t>
      </w:r>
      <w:r>
        <w:rPr>
          <w:rFonts w:ascii="仿宋_GB2312" w:hAnsi="仿宋_GB2312" w:cs="仿宋_GB2312" w:hint="eastAsia"/>
        </w:rPr>
        <w:t>结合工作实际宣传《中华人民共和国劳动法》《中华人民共和国劳动合同法》《中华人民共和国就业促进法》《中华人民共和国劳动争议调解仲裁法》《中华人民共和国社会保险法》《失业保险条例》《事业单位人事管理条例》《保障农民工工资支付条例》等法律法规规章和规范性文件，提高社会公众对人力资源和社会保障法律法规的知晓度，引导群众依法依规表达诉求、维护自身合法权益。宣传工资、工时、休息休假、女职工和未成年工特殊劳动保护、新就业形态劳动者劳动权益保障等方面的政策，帮助、引导用人单位和劳动者自觉运用法律手段解决矛盾纠纷、维护合法权益。</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（三）加强学习宣传党内法规。</w:t>
      </w:r>
      <w:r>
        <w:rPr>
          <w:rFonts w:ascii="仿宋_GB2312" w:hAnsi="仿宋_GB2312" w:cs="仿宋_GB2312" w:hint="eastAsia"/>
        </w:rPr>
        <w:t>深入学习贯彻《中国共产党章程》《中国共产党廉洁自律准则》《福建省评比达标表彰活动管理实施细则》等党内法规，增强广大党员的党章党规党纪意识，坚持纪在法前、纪严于法。把法治宣传教育与促进就业创业、建立更加公平更可持续社会保障制度、推进人才强国战略、构建和谐劳动关系等重点工作结合起来，促进党内法规学习宣传常态化、</w:t>
      </w:r>
      <w:r>
        <w:rPr>
          <w:rFonts w:ascii="仿宋_GB2312" w:hAnsi="仿宋_GB2312" w:cs="仿宋_GB2312" w:hint="eastAsia"/>
        </w:rPr>
        <w:lastRenderedPageBreak/>
        <w:t>制度化。</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（四）突出学习宣传宪法、民法典。</w:t>
      </w:r>
      <w:r>
        <w:rPr>
          <w:rFonts w:ascii="仿宋_GB2312" w:hAnsi="仿宋_GB2312" w:cs="仿宋_GB2312" w:hint="eastAsia"/>
        </w:rPr>
        <w:t>深入持久开展宪法宣传教育活动，阐释好中国特色社会主义宪法精神和“中国之治”的制度基础，阐释好新时代依宪治国、依宪执政的内涵和意义。深入学习宣传习近平总书记关于民法典的重要指示精神，准确阑释民法典的重大意义、重要精神和基本要求，把民法典普法工作融入民法典实施全过程、融入人民群众日常生活、融入基层依法治理。加强国旗法、国歌法、国徽法、国家安全法、反分裂国家法、国防法、生物安全法、网络安全法等相关法的学习宣传，增强全民国家意识、安全意识，弘扬爱国精神。</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（五）着重学习宣传相关法律法规规章。</w:t>
      </w:r>
      <w:r>
        <w:rPr>
          <w:rFonts w:ascii="仿宋_GB2312" w:hAnsi="仿宋_GB2312" w:cs="仿宋_GB2312" w:hint="eastAsia"/>
        </w:rPr>
        <w:t>将行政处罚法、行政许可法、行政复议法、行政执法条例、乡村振兴促进法、优化营商环境条例、福建省行政执法条例等行政部门日常工作必须掌握的法律法规以及规范系统内行政行为的制度规定作为法治宣传的基本内容，提高领导干部运用法治思维和法治方式开展工作的能力，增强工作人员依法履职能力，完善行政执法程序，依法保障社会稳定和人民安宁。</w:t>
      </w:r>
    </w:p>
    <w:p w:rsidR="00E8413D" w:rsidRDefault="0087241F">
      <w:pPr>
        <w:spacing w:line="560" w:lineRule="exact"/>
        <w:ind w:firstLineChars="200" w:firstLine="632"/>
        <w:rPr>
          <w:rFonts w:ascii="黑体" w:eastAsia="黑体" w:hAnsi="黑体" w:cs="黑体"/>
        </w:rPr>
      </w:pPr>
      <w:r>
        <w:rPr>
          <w:rFonts w:ascii="黑体" w:eastAsia="黑体" w:hAnsi="黑体" w:cs="黑体" w:hint="eastAsia"/>
        </w:rPr>
        <w:t>三、学习方式</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（一）开展领导干部职工学法活动。</w:t>
      </w:r>
      <w:r>
        <w:rPr>
          <w:rFonts w:ascii="仿宋_GB2312" w:hAnsi="仿宋_GB2312" w:cs="仿宋_GB2312" w:hint="eastAsia"/>
        </w:rPr>
        <w:t>重点抓好“关键少数”，全面落实领导干部集体学法制度，每年组织专题法律知识学习不少于2次，着力提高我局干部职工依法行政能力和服务社会水平。组织开展党组中心组理论学习（扩大）会、法治讲座、业务培训、</w:t>
      </w:r>
      <w:r>
        <w:rPr>
          <w:rFonts w:ascii="仿宋_GB2312" w:hAnsi="仿宋_GB2312" w:cs="仿宋_GB2312" w:hint="eastAsia"/>
        </w:rPr>
        <w:lastRenderedPageBreak/>
        <w:t>法院旁听等学法活动，促进知行合一。加强对干部法治思维和依法办事情况的考核，将考核结果作为干部使用的重要依据，让遵法学法守法用法成为领导干部自觉行为和必备素质。</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（二）积极组织“法律六进”活动。</w:t>
      </w:r>
      <w:r>
        <w:rPr>
          <w:rFonts w:ascii="仿宋_GB2312" w:hAnsi="仿宋_GB2312" w:cs="仿宋_GB2312" w:hint="eastAsia"/>
        </w:rPr>
        <w:t>充分利用自身资源，加强其他重点群体法治教育。围绕中心工作，针对重点人群，聚焦群众关心的热点问题，深入推进人力资源和社会保障法律进机关、进乡村、进社区、进学校、进企业、进单位等主题活动。每年开展专题法治宣传活动不少于2次，积极引导和帮助公民学法用法。</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（三）坚持立法执法普法相结合。</w:t>
      </w:r>
      <w:r>
        <w:rPr>
          <w:rFonts w:ascii="仿宋_GB2312" w:hAnsi="仿宋_GB2312" w:cs="仿宋_GB2312" w:hint="eastAsia"/>
        </w:rPr>
        <w:t>一是加强立法工作宣传报道，及时解读立法热点问题，回应社会关切。法规规章和规苑性文件正式公布后，要以通俗易懂的语言将公民、法人和其他组织的权利义务、权利救济方式等主要内容，通过政府网站、新闻媒体公布或在公共场所陈列，方便社会公众理解掌握。二是注重在依法履职过程中，向管理对象、服务对象、执法对象和社会公众宣讲有关实体法和程序法，解答有关法律问题，将普法贯穿于执法全过程，渗透于执法各环节，使人民群众从每一个执法、案件中接受普法教育、感受公平正义。三是将“以案释法” 融入日常执法，工作人员要结合具体案情向当事人释法说理。收集行政执法过程中遇到过的典型案例，编写普法素材，让群众在解决问题中学习法律知识，树立法治观念。</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（四）开展法制宣传主题活动。</w:t>
      </w:r>
      <w:r>
        <w:rPr>
          <w:rFonts w:ascii="仿宋_GB2312" w:hAnsi="仿宋_GB2312" w:cs="仿宋_GB2312" w:hint="eastAsia"/>
          <w:b/>
          <w:bCs/>
        </w:rPr>
        <w:t>一是</w:t>
      </w:r>
      <w:r>
        <w:rPr>
          <w:rFonts w:ascii="仿宋_GB2312" w:hAnsi="仿宋_GB2312" w:cs="仿宋_GB2312" w:hint="eastAsia"/>
        </w:rPr>
        <w:t>每年结合“12·4”国家宪法日、法律施行日和重大节日，组织开展面向社会的多样化</w:t>
      </w:r>
      <w:r>
        <w:rPr>
          <w:rFonts w:ascii="仿宋_GB2312" w:hAnsi="仿宋_GB2312" w:cs="仿宋_GB2312" w:hint="eastAsia"/>
        </w:rPr>
        <w:lastRenderedPageBreak/>
        <w:t>的法治宣传活动，扎实开展各类主题普法活动。</w:t>
      </w:r>
      <w:r>
        <w:rPr>
          <w:rFonts w:ascii="仿宋_GB2312" w:hAnsi="仿宋_GB2312" w:cs="仿宋_GB2312" w:hint="eastAsia"/>
          <w:b/>
          <w:bCs/>
        </w:rPr>
        <w:t>二是</w:t>
      </w:r>
      <w:r>
        <w:rPr>
          <w:rFonts w:ascii="仿宋_GB2312" w:hAnsi="仿宋_GB2312" w:cs="仿宋_GB2312" w:hint="eastAsia"/>
        </w:rPr>
        <w:t>依托于“春风行动”、招聘会活动等重大活动，加强对用人单位和劳动者的法治宣传教育，帮助、引导劳动者依法维权，自觉运用法律手段解决矛盾纠纷。</w:t>
      </w:r>
      <w:r>
        <w:rPr>
          <w:rFonts w:ascii="仿宋_GB2312" w:hAnsi="仿宋_GB2312" w:cs="仿宋_GB2312" w:hint="eastAsia"/>
          <w:b/>
          <w:bCs/>
        </w:rPr>
        <w:t>三是</w:t>
      </w:r>
      <w:r>
        <w:rPr>
          <w:rFonts w:ascii="仿宋_GB2312" w:hAnsi="仿宋_GB2312" w:cs="仿宋_GB2312" w:hint="eastAsia"/>
        </w:rPr>
        <w:t>针对年底欠薪较为集中问题，在“两节”期间组织开展保障农民工工资支付集中宣传活动。</w:t>
      </w:r>
      <w:r>
        <w:rPr>
          <w:rFonts w:ascii="仿宋_GB2312" w:hAnsi="仿宋_GB2312" w:cs="仿宋_GB2312" w:hint="eastAsia"/>
          <w:b/>
          <w:bCs/>
        </w:rPr>
        <w:t>四是</w:t>
      </w:r>
      <w:r>
        <w:rPr>
          <w:rFonts w:ascii="仿宋_GB2312" w:hAnsi="仿宋_GB2312" w:cs="仿宋_GB2312" w:hint="eastAsia"/>
        </w:rPr>
        <w:t>做好日常性宣传。利用橱窗、板报、户外LED显示屏、横幅标语等载体，局门户网站、微信公众号平台和“e三明”等新媒体传播平台，积极推进“互联网+人社”，建好用好法治宣传教育基地。</w:t>
      </w:r>
    </w:p>
    <w:p w:rsidR="00E8413D" w:rsidRDefault="0087241F">
      <w:pPr>
        <w:spacing w:line="560" w:lineRule="exact"/>
        <w:ind w:firstLineChars="200" w:firstLine="632"/>
        <w:rPr>
          <w:rFonts w:ascii="黑体" w:eastAsia="黑体" w:hAnsi="黑体" w:cs="黑体"/>
        </w:rPr>
      </w:pPr>
      <w:r>
        <w:rPr>
          <w:rFonts w:ascii="黑体" w:eastAsia="黑体" w:hAnsi="黑体" w:cs="黑体" w:hint="eastAsia"/>
        </w:rPr>
        <w:t>五、工作保障</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（一）加强组织领导。</w:t>
      </w:r>
      <w:r>
        <w:rPr>
          <w:rFonts w:ascii="仿宋_GB2312" w:hAnsi="仿宋_GB2312" w:cs="仿宋_GB2312" w:hint="eastAsia"/>
        </w:rPr>
        <w:t>自觉把法治宣传教育摆上重要议事日程，切实履行主要负责人推进法治建设第一责任人职责，建立健全党政机关法律顾问制度。抓牢抓实普法学法宣法各项工作。做到对法治建设重要工作亲自部署、重大问题亲自过问、重点环节亲自协调、重要任务亲自督办，把本部门各项工作纳入法治化轨道。</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（二）压实普法责任。</w:t>
      </w:r>
      <w:r>
        <w:rPr>
          <w:rFonts w:ascii="仿宋_GB2312" w:hAnsi="仿宋_GB2312" w:cs="仿宋_GB2312" w:hint="eastAsia"/>
        </w:rPr>
        <w:t>要根据工作实际，按照计划和“谁执法、谁普法”责任清单狠抓落实。注意创新法治宣传教育形式，不断总结。坚持学法与用法相结合，转变工作作风、强化效能建设、增强服务意识，促进人社系统法治建设发展。</w:t>
      </w:r>
    </w:p>
    <w:p w:rsidR="00E8413D" w:rsidRDefault="0087241F">
      <w:pPr>
        <w:spacing w:line="560" w:lineRule="exact"/>
        <w:ind w:firstLineChars="200" w:firstLine="632"/>
        <w:rPr>
          <w:rFonts w:ascii="仿宋_GB2312" w:hAnsi="仿宋_GB2312" w:cs="仿宋_GB2312"/>
        </w:rPr>
      </w:pPr>
      <w:r>
        <w:rPr>
          <w:rFonts w:ascii="楷体_GB2312" w:eastAsia="楷体_GB2312" w:hAnsi="楷体_GB2312" w:cs="楷体_GB2312" w:hint="eastAsia"/>
        </w:rPr>
        <w:t>（三）加强效果评估。</w:t>
      </w:r>
      <w:r>
        <w:rPr>
          <w:rFonts w:ascii="仿宋_GB2312" w:hAnsi="仿宋_GB2312" w:cs="仿宋_GB2312" w:hint="eastAsia"/>
        </w:rPr>
        <w:t>要加强计划实施中的动态监测，深入基层、深入群众，研究调研计划实施情况的准备工作，注重日常素材积累。普法工作领导小组要强化日常指导和监督。坚持问题</w:t>
      </w:r>
      <w:r>
        <w:rPr>
          <w:rFonts w:ascii="仿宋_GB2312" w:hAnsi="仿宋_GB2312" w:cs="仿宋_GB2312" w:hint="eastAsia"/>
        </w:rPr>
        <w:lastRenderedPageBreak/>
        <w:t>导向、效果导向，注重清单化管理、项目化推进、责任化落实。</w:t>
      </w:r>
    </w:p>
    <w:p w:rsidR="00E8413D" w:rsidRDefault="0087241F">
      <w:pPr>
        <w:spacing w:line="560" w:lineRule="exact"/>
        <w:ind w:firstLineChars="200" w:firstLine="632"/>
        <w:rPr>
          <w:rFonts w:ascii="仿宋_GB2312" w:hAnsi="仿宋_GB2312" w:cs="仿宋_GB2312"/>
        </w:rPr>
      </w:pPr>
      <w:r>
        <w:rPr>
          <w:rFonts w:ascii="仿宋_GB2312" w:hAnsi="仿宋_GB2312" w:cs="仿宋_GB2312" w:hint="eastAsia"/>
        </w:rPr>
        <w:t xml:space="preserve">　　  </w:t>
      </w:r>
    </w:p>
    <w:p w:rsidR="00E8413D" w:rsidRDefault="0087241F">
      <w:pPr>
        <w:spacing w:line="560" w:lineRule="exact"/>
        <w:ind w:leftChars="100" w:left="316" w:firstLineChars="100" w:firstLine="316"/>
        <w:rPr>
          <w:rFonts w:ascii="仿宋_GB2312" w:hAnsi="仿宋_GB2312" w:cs="仿宋_GB2312"/>
        </w:rPr>
      </w:pPr>
      <w:r>
        <w:rPr>
          <w:rFonts w:ascii="仿宋_GB2312" w:hAnsi="仿宋_GB2312" w:cs="仿宋_GB2312" w:hint="eastAsia"/>
        </w:rPr>
        <w:t>附件：1.三明市人力资源和社会保障局2022年“谁执法谁普</w:t>
      </w:r>
    </w:p>
    <w:p w:rsidR="00E8413D" w:rsidRDefault="0087241F">
      <w:pPr>
        <w:spacing w:line="560" w:lineRule="exact"/>
        <w:ind w:leftChars="100" w:left="316" w:firstLineChars="100" w:firstLine="316"/>
        <w:rPr>
          <w:rFonts w:ascii="仿宋_GB2312" w:hAnsi="仿宋_GB2312" w:cs="仿宋_GB2312"/>
        </w:rPr>
      </w:pPr>
      <w:r>
        <w:rPr>
          <w:rFonts w:ascii="仿宋_GB2312" w:hAnsi="仿宋_GB2312" w:cs="仿宋_GB2312" w:hint="eastAsia"/>
        </w:rPr>
        <w:t>法”责任清单</w:t>
      </w:r>
    </w:p>
    <w:p w:rsidR="00E8413D" w:rsidRDefault="0087241F">
      <w:pPr>
        <w:spacing w:line="560" w:lineRule="exact"/>
        <w:ind w:firstLineChars="200" w:firstLine="632"/>
        <w:rPr>
          <w:rFonts w:ascii="仿宋_GB2312" w:hAnsi="仿宋_GB2312" w:cs="仿宋_GB2312"/>
          <w:spacing w:val="-11"/>
        </w:rPr>
      </w:pPr>
      <w:r>
        <w:rPr>
          <w:rFonts w:ascii="仿宋_GB2312" w:hAnsi="仿宋_GB2312" w:cs="仿宋_GB2312" w:hint="eastAsia"/>
        </w:rPr>
        <w:t xml:space="preserve">     2.</w:t>
      </w:r>
      <w:r>
        <w:rPr>
          <w:rFonts w:ascii="仿宋_GB2312" w:hAnsi="仿宋_GB2312" w:cs="仿宋_GB2312" w:hint="eastAsia"/>
          <w:spacing w:val="-11"/>
        </w:rPr>
        <w:t>三明市人力资源和社会保障局2022年普法计划安排表</w:t>
      </w:r>
    </w:p>
    <w:p w:rsidR="00E8413D" w:rsidRDefault="00E8413D">
      <w:pPr>
        <w:spacing w:line="560" w:lineRule="exact"/>
        <w:rPr>
          <w:rFonts w:ascii="仿宋_GB2312" w:hAnsi="仿宋_GB2312" w:cs="仿宋_GB2312"/>
        </w:rPr>
      </w:pPr>
      <w:bookmarkStart w:id="0" w:name="_GoBack"/>
      <w:bookmarkEnd w:id="0"/>
    </w:p>
    <w:p w:rsidR="00E8413D" w:rsidRDefault="00E8413D">
      <w:pPr>
        <w:spacing w:line="560" w:lineRule="exact"/>
        <w:rPr>
          <w:rFonts w:ascii="仿宋_GB2312" w:hAnsi="仿宋_GB2312" w:cs="仿宋_GB2312"/>
        </w:rPr>
      </w:pPr>
    </w:p>
    <w:p w:rsidR="00E8413D" w:rsidRDefault="00E8413D">
      <w:pPr>
        <w:spacing w:line="560" w:lineRule="exact"/>
        <w:rPr>
          <w:rFonts w:ascii="仿宋_GB2312" w:hAnsi="仿宋_GB2312" w:cs="仿宋_GB2312"/>
        </w:rPr>
      </w:pPr>
    </w:p>
    <w:p w:rsidR="00E8413D" w:rsidRDefault="00E8413D">
      <w:pPr>
        <w:spacing w:line="560" w:lineRule="exact"/>
        <w:rPr>
          <w:rFonts w:ascii="仿宋_GB2312" w:hAnsi="仿宋_GB2312" w:cs="仿宋_GB2312"/>
        </w:rPr>
      </w:pPr>
    </w:p>
    <w:p w:rsidR="00E8413D" w:rsidRDefault="00E8413D">
      <w:pPr>
        <w:spacing w:line="560" w:lineRule="exact"/>
        <w:rPr>
          <w:rFonts w:ascii="仿宋_GB2312" w:hAnsi="仿宋_GB2312" w:cs="仿宋_GB2312"/>
        </w:rPr>
      </w:pPr>
    </w:p>
    <w:p w:rsidR="00E8413D" w:rsidRDefault="00E8413D">
      <w:pPr>
        <w:spacing w:line="560" w:lineRule="exact"/>
        <w:rPr>
          <w:rFonts w:ascii="仿宋_GB2312" w:hAnsi="仿宋_GB2312" w:cs="仿宋_GB2312"/>
        </w:rPr>
      </w:pPr>
    </w:p>
    <w:p w:rsidR="00E8413D" w:rsidRDefault="00E8413D">
      <w:pPr>
        <w:spacing w:line="560" w:lineRule="exact"/>
        <w:rPr>
          <w:rFonts w:ascii="仿宋_GB2312" w:hAnsi="仿宋_GB2312" w:cs="仿宋_GB2312"/>
        </w:rPr>
      </w:pPr>
    </w:p>
    <w:p w:rsidR="00E8413D" w:rsidRDefault="00E8413D">
      <w:pPr>
        <w:spacing w:line="560" w:lineRule="exact"/>
        <w:rPr>
          <w:rFonts w:ascii="仿宋_GB2312" w:hAnsi="仿宋_GB2312" w:cs="仿宋_GB2312"/>
        </w:rPr>
      </w:pPr>
    </w:p>
    <w:p w:rsidR="00E8413D" w:rsidRDefault="00E8413D">
      <w:pPr>
        <w:spacing w:line="560" w:lineRule="exact"/>
        <w:rPr>
          <w:rFonts w:ascii="仿宋_GB2312" w:hAnsi="仿宋_GB2312" w:cs="仿宋_GB2312"/>
        </w:rPr>
      </w:pPr>
    </w:p>
    <w:p w:rsidR="00E8413D" w:rsidRDefault="00E8413D">
      <w:pPr>
        <w:spacing w:line="560" w:lineRule="exact"/>
        <w:rPr>
          <w:rFonts w:ascii="仿宋_GB2312" w:hAnsi="仿宋_GB2312" w:cs="仿宋_GB2312"/>
        </w:rPr>
      </w:pPr>
    </w:p>
    <w:p w:rsidR="00E8413D" w:rsidRDefault="00E8413D">
      <w:pPr>
        <w:spacing w:line="560" w:lineRule="exact"/>
        <w:rPr>
          <w:rFonts w:ascii="仿宋_GB2312" w:hAnsi="仿宋_GB2312" w:cs="仿宋_GB2312"/>
        </w:rPr>
        <w:sectPr w:rsidR="00E8413D">
          <w:footerReference w:type="even" r:id="rId7"/>
          <w:footerReference w:type="default" r:id="rId8"/>
          <w:pgSz w:w="11906" w:h="16838"/>
          <w:pgMar w:top="2098" w:right="1531" w:bottom="1985" w:left="1531" w:header="851" w:footer="1588" w:gutter="0"/>
          <w:pgNumType w:fmt="numberInDash"/>
          <w:cols w:space="425"/>
          <w:docGrid w:type="linesAndChars" w:linePitch="579" w:charSpace="-849"/>
        </w:sectPr>
      </w:pPr>
    </w:p>
    <w:p w:rsidR="00E8413D" w:rsidRDefault="0087241F">
      <w:pPr>
        <w:spacing w:line="560" w:lineRule="exact"/>
        <w:rPr>
          <w:rFonts w:ascii="仿宋_GB2312" w:hAnsi="仿宋_GB2312" w:cs="仿宋_GB2312"/>
        </w:rPr>
      </w:pPr>
      <w:r>
        <w:rPr>
          <w:rFonts w:ascii="黑体" w:eastAsia="黑体" w:hAnsi="黑体" w:cs="黑体" w:hint="eastAsia"/>
        </w:rPr>
        <w:lastRenderedPageBreak/>
        <w:t xml:space="preserve">附件1 </w:t>
      </w:r>
    </w:p>
    <w:p w:rsidR="00E8413D" w:rsidRDefault="0087241F" w:rsidP="00A216A1">
      <w:pPr>
        <w:spacing w:afterLines="20"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三明市人力资源和社会保障局2022年“谁执法谁普法”责任清单</w:t>
      </w:r>
    </w:p>
    <w:tbl>
      <w:tblPr>
        <w:tblW w:w="14294" w:type="dxa"/>
        <w:jc w:val="center"/>
        <w:tblLook w:val="04A0"/>
      </w:tblPr>
      <w:tblGrid>
        <w:gridCol w:w="880"/>
        <w:gridCol w:w="1545"/>
        <w:gridCol w:w="3765"/>
        <w:gridCol w:w="4344"/>
        <w:gridCol w:w="2485"/>
        <w:gridCol w:w="1275"/>
      </w:tblGrid>
      <w:tr w:rsidR="00E8413D">
        <w:trPr>
          <w:trHeight w:val="397"/>
          <w:tblHeader/>
          <w:jc w:val="center"/>
        </w:trPr>
        <w:tc>
          <w:tcPr>
            <w:tcW w:w="880" w:type="dxa"/>
            <w:tcBorders>
              <w:top w:val="single" w:sz="8" w:space="0" w:color="auto"/>
              <w:left w:val="single" w:sz="8" w:space="0" w:color="auto"/>
              <w:bottom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b/>
                <w:bCs/>
                <w:color w:val="000000"/>
                <w:kern w:val="0"/>
                <w:sz w:val="24"/>
                <w:szCs w:val="24"/>
              </w:rPr>
            </w:pPr>
            <w:r>
              <w:rPr>
                <w:rFonts w:ascii="仿宋_GB2312" w:hAnsi="仿宋_GB2312" w:cs="仿宋_GB2312" w:hint="eastAsia"/>
                <w:b/>
                <w:bCs/>
                <w:color w:val="000000"/>
                <w:kern w:val="0"/>
                <w:sz w:val="24"/>
                <w:szCs w:val="24"/>
              </w:rPr>
              <w:t>序号</w:t>
            </w:r>
          </w:p>
        </w:tc>
        <w:tc>
          <w:tcPr>
            <w:tcW w:w="1545" w:type="dxa"/>
            <w:tcBorders>
              <w:top w:val="single" w:sz="8" w:space="0" w:color="auto"/>
              <w:left w:val="nil"/>
              <w:bottom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b/>
                <w:bCs/>
                <w:color w:val="000000"/>
                <w:kern w:val="0"/>
                <w:sz w:val="24"/>
                <w:szCs w:val="24"/>
              </w:rPr>
            </w:pPr>
            <w:r>
              <w:rPr>
                <w:rFonts w:ascii="仿宋_GB2312" w:hAnsi="仿宋_GB2312" w:cs="仿宋_GB2312" w:hint="eastAsia"/>
                <w:b/>
                <w:bCs/>
                <w:color w:val="000000"/>
                <w:kern w:val="0"/>
                <w:sz w:val="24"/>
                <w:szCs w:val="24"/>
              </w:rPr>
              <w:t>类别</w:t>
            </w:r>
          </w:p>
        </w:tc>
        <w:tc>
          <w:tcPr>
            <w:tcW w:w="3765" w:type="dxa"/>
            <w:tcBorders>
              <w:top w:val="single" w:sz="8" w:space="0" w:color="auto"/>
              <w:left w:val="nil"/>
              <w:bottom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b/>
                <w:bCs/>
                <w:color w:val="000000"/>
                <w:kern w:val="0"/>
                <w:sz w:val="24"/>
                <w:szCs w:val="24"/>
              </w:rPr>
            </w:pPr>
            <w:r>
              <w:rPr>
                <w:rFonts w:ascii="仿宋_GB2312" w:hAnsi="仿宋_GB2312" w:cs="仿宋_GB2312" w:hint="eastAsia"/>
                <w:b/>
                <w:bCs/>
                <w:color w:val="000000"/>
                <w:kern w:val="0"/>
                <w:sz w:val="24"/>
                <w:szCs w:val="24"/>
              </w:rPr>
              <w:t>普法内容</w:t>
            </w:r>
          </w:p>
        </w:tc>
        <w:tc>
          <w:tcPr>
            <w:tcW w:w="4344" w:type="dxa"/>
            <w:tcBorders>
              <w:top w:val="single" w:sz="8" w:space="0" w:color="auto"/>
              <w:left w:val="nil"/>
              <w:bottom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b/>
                <w:bCs/>
                <w:color w:val="000000"/>
                <w:kern w:val="0"/>
                <w:sz w:val="24"/>
                <w:szCs w:val="24"/>
              </w:rPr>
            </w:pPr>
            <w:r>
              <w:rPr>
                <w:rFonts w:ascii="仿宋_GB2312" w:hAnsi="仿宋_GB2312" w:cs="仿宋_GB2312" w:hint="eastAsia"/>
                <w:b/>
                <w:bCs/>
                <w:color w:val="000000"/>
                <w:kern w:val="0"/>
                <w:sz w:val="24"/>
                <w:szCs w:val="24"/>
              </w:rPr>
              <w:t>普法形式</w:t>
            </w:r>
          </w:p>
        </w:tc>
        <w:tc>
          <w:tcPr>
            <w:tcW w:w="2485" w:type="dxa"/>
            <w:tcBorders>
              <w:top w:val="single" w:sz="8" w:space="0" w:color="auto"/>
              <w:left w:val="nil"/>
              <w:bottom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b/>
                <w:bCs/>
                <w:color w:val="000000"/>
                <w:kern w:val="0"/>
                <w:sz w:val="24"/>
                <w:szCs w:val="24"/>
              </w:rPr>
            </w:pPr>
            <w:r>
              <w:rPr>
                <w:rFonts w:ascii="仿宋_GB2312" w:hAnsi="仿宋_GB2312" w:cs="仿宋_GB2312" w:hint="eastAsia"/>
                <w:b/>
                <w:bCs/>
                <w:color w:val="000000"/>
                <w:kern w:val="0"/>
                <w:sz w:val="24"/>
                <w:szCs w:val="24"/>
              </w:rPr>
              <w:t>责任科室（直属单位）</w:t>
            </w:r>
          </w:p>
        </w:tc>
        <w:tc>
          <w:tcPr>
            <w:tcW w:w="1275" w:type="dxa"/>
            <w:tcBorders>
              <w:top w:val="single" w:sz="8" w:space="0" w:color="auto"/>
              <w:left w:val="nil"/>
              <w:bottom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b/>
                <w:bCs/>
                <w:color w:val="000000"/>
                <w:kern w:val="0"/>
                <w:sz w:val="24"/>
                <w:szCs w:val="24"/>
              </w:rPr>
            </w:pPr>
            <w:r>
              <w:rPr>
                <w:rFonts w:ascii="仿宋_GB2312" w:hAnsi="仿宋_GB2312" w:cs="仿宋_GB2312" w:hint="eastAsia"/>
                <w:b/>
                <w:bCs/>
                <w:color w:val="000000"/>
                <w:kern w:val="0"/>
                <w:sz w:val="24"/>
                <w:szCs w:val="24"/>
              </w:rPr>
              <w:t>普法对象</w:t>
            </w:r>
          </w:p>
        </w:tc>
      </w:tr>
      <w:tr w:rsidR="00E8413D">
        <w:trPr>
          <w:trHeight w:val="2409"/>
          <w:jc w:val="center"/>
        </w:trPr>
        <w:tc>
          <w:tcPr>
            <w:tcW w:w="880"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1</w:t>
            </w:r>
          </w:p>
        </w:tc>
        <w:tc>
          <w:tcPr>
            <w:tcW w:w="1545"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党内法规类</w:t>
            </w:r>
          </w:p>
        </w:tc>
        <w:tc>
          <w:tcPr>
            <w:tcW w:w="3765"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习近平法治思想以及《习近平法治思想学习纲要》《中国共产党章程》《中国共产党廉洁自律准则》《中国共产党纪律处分条例》《关于新形势下党内政治生活的若干准则》《中国共产党党内法规执行责任制规定（试行）》等党内法规</w:t>
            </w:r>
          </w:p>
        </w:tc>
        <w:tc>
          <w:tcPr>
            <w:tcW w:w="4344"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①利用例会、局公开栏、官方网站、微信公众号等进行宣传;</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②发放宣传单、宣传手册等材料；</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③开展党委（党组）理论中心组法治学习、开展法治讲座。</w:t>
            </w:r>
          </w:p>
        </w:tc>
        <w:tc>
          <w:tcPr>
            <w:tcW w:w="2485"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机关党委办公室牵头，各直属单位配合</w:t>
            </w:r>
          </w:p>
        </w:tc>
        <w:tc>
          <w:tcPr>
            <w:tcW w:w="1275" w:type="dxa"/>
            <w:vMerge w:val="restart"/>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市人社系统全体干部、服务对象、执法对象</w:t>
            </w:r>
          </w:p>
          <w:p w:rsidR="00E8413D" w:rsidRDefault="00E8413D">
            <w:pPr>
              <w:pStyle w:val="Default"/>
              <w:spacing w:line="320" w:lineRule="exact"/>
              <w:jc w:val="center"/>
              <w:rPr>
                <w:rFonts w:ascii="仿宋_GB2312" w:eastAsia="仿宋_GB2312" w:hAnsi="仿宋_GB2312" w:cs="仿宋_GB2312" w:hint="default"/>
                <w:szCs w:val="24"/>
              </w:rPr>
            </w:pPr>
          </w:p>
        </w:tc>
      </w:tr>
      <w:tr w:rsidR="00E8413D">
        <w:trPr>
          <w:trHeight w:val="3858"/>
          <w:jc w:val="center"/>
        </w:trPr>
        <w:tc>
          <w:tcPr>
            <w:tcW w:w="880"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2</w:t>
            </w:r>
          </w:p>
        </w:tc>
        <w:tc>
          <w:tcPr>
            <w:tcW w:w="1545"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综合类</w:t>
            </w:r>
          </w:p>
        </w:tc>
        <w:tc>
          <w:tcPr>
            <w:tcW w:w="3765"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中华人民共和国宪法》《中华人民共和国宪法修正案》（2018年3月11日第十三届全国人民代表大会第一次会议通过）、《民法典》、《中华人民共和国行政许可法》《中华人民共和国行政处罚法》《中华人民共和国行政强制法》《中华人民共和国行政诉讼法》《中华人民共和国乡村振兴促进法》《优化营商环境条例》《福建省行政执法条例》等法律法规</w:t>
            </w:r>
          </w:p>
        </w:tc>
        <w:tc>
          <w:tcPr>
            <w:tcW w:w="4344" w:type="dxa"/>
            <w:tcBorders>
              <w:top w:val="nil"/>
              <w:left w:val="nil"/>
              <w:bottom w:val="single" w:sz="8" w:space="0" w:color="auto"/>
              <w:right w:val="single" w:sz="8" w:space="0" w:color="auto"/>
            </w:tcBorders>
            <w:noWrap/>
            <w:vAlign w:val="center"/>
          </w:tcPr>
          <w:p w:rsidR="00E8413D" w:rsidRDefault="00E8413D">
            <w:pPr>
              <w:widowControl/>
              <w:spacing w:line="320" w:lineRule="exact"/>
              <w:jc w:val="left"/>
              <w:rPr>
                <w:rFonts w:ascii="仿宋_GB2312" w:hAnsi="仿宋_GB2312" w:cs="仿宋_GB2312"/>
                <w:color w:val="000000"/>
                <w:kern w:val="0"/>
                <w:sz w:val="24"/>
                <w:szCs w:val="24"/>
              </w:rPr>
            </w:pP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①利用例会、局公开栏、官方网站、微信公众号等进行宣传;</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②发放宣传单、宣传手册等材料；</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③工作过程中，主动解答公众法律疑问；</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④结合12·4国家宪法日开展专题宣传活动；</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⑤结合“法律六进”开展多种宣传活动。</w:t>
            </w:r>
          </w:p>
        </w:tc>
        <w:tc>
          <w:tcPr>
            <w:tcW w:w="2485"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政策法规和审批科牵头，各有关业务科室配合</w:t>
            </w:r>
          </w:p>
        </w:tc>
        <w:tc>
          <w:tcPr>
            <w:tcW w:w="1275" w:type="dxa"/>
            <w:vMerge/>
            <w:tcBorders>
              <w:top w:val="nil"/>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r>
      <w:tr w:rsidR="00E8413D">
        <w:trPr>
          <w:trHeight w:val="987"/>
          <w:jc w:val="center"/>
        </w:trPr>
        <w:tc>
          <w:tcPr>
            <w:tcW w:w="880" w:type="dxa"/>
            <w:tcBorders>
              <w:top w:val="single" w:sz="8" w:space="0" w:color="auto"/>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lastRenderedPageBreak/>
              <w:t>3</w:t>
            </w:r>
          </w:p>
        </w:tc>
        <w:tc>
          <w:tcPr>
            <w:tcW w:w="1545" w:type="dxa"/>
            <w:tcBorders>
              <w:top w:val="single" w:sz="8" w:space="0" w:color="auto"/>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就业创业类</w:t>
            </w:r>
          </w:p>
        </w:tc>
        <w:tc>
          <w:tcPr>
            <w:tcW w:w="3765" w:type="dxa"/>
            <w:tcBorders>
              <w:top w:val="single" w:sz="8" w:space="0" w:color="auto"/>
              <w:left w:val="single" w:sz="8" w:space="0" w:color="auto"/>
              <w:bottom w:val="single" w:sz="8" w:space="0" w:color="000000"/>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《中华人民共和国就业促进法》以及《就业服务与就业管理规定》等有关法律法规</w:t>
            </w:r>
          </w:p>
        </w:tc>
        <w:tc>
          <w:tcPr>
            <w:tcW w:w="4344" w:type="dxa"/>
            <w:vMerge w:val="restart"/>
            <w:tcBorders>
              <w:top w:val="single" w:sz="8" w:space="0" w:color="auto"/>
              <w:left w:val="nil"/>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①结合“法律六进”开展多种宣传活动；</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②利用例会、局公开栏、官方网站、微信公众号等进行宣传;</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③发放宣传单、宣传手册等材料；</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④工作过程中，主动解答公众法律疑问。</w:t>
            </w:r>
          </w:p>
          <w:p w:rsidR="00E8413D" w:rsidRDefault="00E8413D">
            <w:pPr>
              <w:spacing w:line="320" w:lineRule="exact"/>
              <w:jc w:val="left"/>
              <w:rPr>
                <w:rFonts w:ascii="仿宋_GB2312" w:hAnsi="仿宋_GB2312" w:cs="仿宋_GB2312"/>
                <w:color w:val="000000"/>
                <w:kern w:val="0"/>
                <w:sz w:val="24"/>
                <w:szCs w:val="24"/>
              </w:rPr>
            </w:pPr>
          </w:p>
          <w:p w:rsidR="00E8413D" w:rsidRDefault="00E8413D">
            <w:pPr>
              <w:spacing w:line="320" w:lineRule="exact"/>
              <w:jc w:val="left"/>
              <w:rPr>
                <w:rFonts w:ascii="仿宋_GB2312" w:hAnsi="仿宋_GB2312" w:cs="仿宋_GB2312"/>
                <w:color w:val="000000"/>
                <w:kern w:val="0"/>
                <w:sz w:val="24"/>
                <w:szCs w:val="24"/>
              </w:rPr>
            </w:pPr>
          </w:p>
        </w:tc>
        <w:tc>
          <w:tcPr>
            <w:tcW w:w="2485" w:type="dxa"/>
            <w:tcBorders>
              <w:top w:val="single" w:sz="8" w:space="0" w:color="auto"/>
              <w:left w:val="single" w:sz="8" w:space="0" w:color="auto"/>
              <w:bottom w:val="single" w:sz="8" w:space="0" w:color="000000"/>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就业促进和失业保险科、市劳动就业中心、市人事人才公共服务中心</w:t>
            </w:r>
          </w:p>
        </w:tc>
        <w:tc>
          <w:tcPr>
            <w:tcW w:w="1275" w:type="dxa"/>
            <w:vMerge w:val="restart"/>
            <w:tcBorders>
              <w:top w:val="single" w:sz="8" w:space="0" w:color="auto"/>
              <w:left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市人社系统全体干部、服务对象、执法对象</w:t>
            </w:r>
          </w:p>
          <w:p w:rsidR="00E8413D" w:rsidRDefault="00E8413D">
            <w:pPr>
              <w:spacing w:line="320" w:lineRule="exact"/>
              <w:jc w:val="center"/>
              <w:rPr>
                <w:rFonts w:ascii="仿宋_GB2312" w:hAnsi="仿宋_GB2312" w:cs="仿宋_GB2312"/>
                <w:color w:val="000000"/>
                <w:kern w:val="0"/>
                <w:sz w:val="24"/>
                <w:szCs w:val="24"/>
              </w:rPr>
            </w:pPr>
          </w:p>
        </w:tc>
      </w:tr>
      <w:tr w:rsidR="00E8413D">
        <w:trPr>
          <w:trHeight w:val="2920"/>
          <w:jc w:val="center"/>
        </w:trPr>
        <w:tc>
          <w:tcPr>
            <w:tcW w:w="880"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4</w:t>
            </w:r>
          </w:p>
        </w:tc>
        <w:tc>
          <w:tcPr>
            <w:tcW w:w="1545"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劳动关系类</w:t>
            </w:r>
          </w:p>
        </w:tc>
        <w:tc>
          <w:tcPr>
            <w:tcW w:w="3765"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中华人民共和国劳动合同法》《中华人民共和国劳动合同法实施条例》《女职工劳动保护特别规定》《国务院关于职工工作时间的规定》《职工带薪年休假条例》《禁止使用童工规定》以及《未成年工特殊保护规定》《最低工资规定》《集体合同规定》等有关法律法规</w:t>
            </w:r>
          </w:p>
        </w:tc>
        <w:tc>
          <w:tcPr>
            <w:tcW w:w="4344" w:type="dxa"/>
            <w:vMerge/>
            <w:tcBorders>
              <w:left w:val="nil"/>
              <w:right w:val="single" w:sz="8" w:space="0" w:color="auto"/>
            </w:tcBorders>
            <w:noWrap/>
            <w:vAlign w:val="center"/>
          </w:tcPr>
          <w:p w:rsidR="00E8413D" w:rsidRDefault="00E8413D">
            <w:pPr>
              <w:spacing w:line="320" w:lineRule="exact"/>
              <w:jc w:val="left"/>
              <w:rPr>
                <w:rFonts w:ascii="仿宋_GB2312" w:hAnsi="仿宋_GB2312" w:cs="仿宋_GB2312"/>
                <w:color w:val="000000"/>
                <w:kern w:val="0"/>
                <w:sz w:val="24"/>
                <w:szCs w:val="24"/>
              </w:rPr>
            </w:pPr>
          </w:p>
        </w:tc>
        <w:tc>
          <w:tcPr>
            <w:tcW w:w="2485" w:type="dxa"/>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政策法规和审批科、劳动关系和监察科、调解仲裁管理科、市劳动保障监察支队、市劳动人事争议仲裁院</w:t>
            </w:r>
          </w:p>
        </w:tc>
        <w:tc>
          <w:tcPr>
            <w:tcW w:w="1275" w:type="dxa"/>
            <w:vMerge/>
            <w:tcBorders>
              <w:left w:val="single" w:sz="8" w:space="0" w:color="auto"/>
              <w:right w:val="single" w:sz="8" w:space="0" w:color="auto"/>
            </w:tcBorders>
            <w:noWrap/>
            <w:vAlign w:val="center"/>
          </w:tcPr>
          <w:p w:rsidR="00E8413D" w:rsidRDefault="00E8413D">
            <w:pPr>
              <w:spacing w:line="320" w:lineRule="exact"/>
              <w:jc w:val="center"/>
              <w:rPr>
                <w:rFonts w:ascii="仿宋_GB2312" w:hAnsi="仿宋_GB2312" w:cs="仿宋_GB2312"/>
                <w:color w:val="000000"/>
                <w:kern w:val="0"/>
                <w:sz w:val="24"/>
                <w:szCs w:val="24"/>
              </w:rPr>
            </w:pPr>
          </w:p>
        </w:tc>
      </w:tr>
      <w:tr w:rsidR="00E8413D">
        <w:trPr>
          <w:trHeight w:val="1870"/>
          <w:jc w:val="center"/>
        </w:trPr>
        <w:tc>
          <w:tcPr>
            <w:tcW w:w="880" w:type="dxa"/>
            <w:vMerge w:val="restart"/>
            <w:tcBorders>
              <w:top w:val="nil"/>
              <w:left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5</w:t>
            </w:r>
          </w:p>
        </w:tc>
        <w:tc>
          <w:tcPr>
            <w:tcW w:w="1545" w:type="dxa"/>
            <w:vMerge w:val="restart"/>
            <w:tcBorders>
              <w:top w:val="nil"/>
              <w:left w:val="nil"/>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社会保险类</w:t>
            </w:r>
          </w:p>
        </w:tc>
        <w:tc>
          <w:tcPr>
            <w:tcW w:w="376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《中华人民共和国社会保险法》《社会保险费征缴暂行条例》以及《社会保险费申报缴纳管理规定》等有关法律法规</w:t>
            </w:r>
          </w:p>
        </w:tc>
        <w:tc>
          <w:tcPr>
            <w:tcW w:w="4344" w:type="dxa"/>
            <w:vMerge/>
            <w:tcBorders>
              <w:left w:val="nil"/>
              <w:right w:val="single" w:sz="8" w:space="0" w:color="auto"/>
            </w:tcBorders>
            <w:noWrap/>
            <w:vAlign w:val="center"/>
          </w:tcPr>
          <w:p w:rsidR="00E8413D" w:rsidRDefault="00E8413D">
            <w:pPr>
              <w:spacing w:line="320" w:lineRule="exact"/>
              <w:jc w:val="left"/>
              <w:rPr>
                <w:rFonts w:ascii="仿宋_GB2312" w:hAnsi="仿宋_GB2312" w:cs="仿宋_GB2312"/>
                <w:color w:val="000000"/>
                <w:kern w:val="0"/>
                <w:sz w:val="24"/>
                <w:szCs w:val="24"/>
              </w:rPr>
            </w:pPr>
          </w:p>
        </w:tc>
        <w:tc>
          <w:tcPr>
            <w:tcW w:w="248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养老保险科、工伤保险科、市社会保险中心、市机关事业单位社会保险中心、市城乡居民社会养老保险中心</w:t>
            </w:r>
          </w:p>
        </w:tc>
        <w:tc>
          <w:tcPr>
            <w:tcW w:w="1275" w:type="dxa"/>
            <w:vMerge/>
            <w:tcBorders>
              <w:left w:val="single" w:sz="8" w:space="0" w:color="auto"/>
              <w:right w:val="single" w:sz="8" w:space="0" w:color="auto"/>
            </w:tcBorders>
            <w:noWrap/>
            <w:vAlign w:val="center"/>
          </w:tcPr>
          <w:p w:rsidR="00E8413D" w:rsidRDefault="00E8413D">
            <w:pPr>
              <w:spacing w:line="320" w:lineRule="exact"/>
              <w:jc w:val="center"/>
              <w:rPr>
                <w:rFonts w:ascii="仿宋_GB2312" w:hAnsi="仿宋_GB2312" w:cs="仿宋_GB2312"/>
                <w:color w:val="000000"/>
                <w:kern w:val="0"/>
                <w:sz w:val="24"/>
                <w:szCs w:val="24"/>
              </w:rPr>
            </w:pPr>
          </w:p>
        </w:tc>
      </w:tr>
      <w:tr w:rsidR="00E8413D">
        <w:trPr>
          <w:trHeight w:val="397"/>
          <w:jc w:val="center"/>
        </w:trPr>
        <w:tc>
          <w:tcPr>
            <w:tcW w:w="880" w:type="dxa"/>
            <w:vMerge/>
            <w:tcBorders>
              <w:left w:val="single" w:sz="8" w:space="0" w:color="auto"/>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c>
          <w:tcPr>
            <w:tcW w:w="1545" w:type="dxa"/>
            <w:vMerge/>
            <w:tcBorders>
              <w:left w:val="single" w:sz="8" w:space="0" w:color="auto"/>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c>
          <w:tcPr>
            <w:tcW w:w="376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《失业保险条例》以及《失业保险金申领发放办法》等有关法律法规</w:t>
            </w:r>
          </w:p>
        </w:tc>
        <w:tc>
          <w:tcPr>
            <w:tcW w:w="4344" w:type="dxa"/>
            <w:vMerge/>
            <w:tcBorders>
              <w:left w:val="single" w:sz="8" w:space="0" w:color="auto"/>
              <w:right w:val="single" w:sz="8" w:space="0" w:color="auto"/>
            </w:tcBorders>
            <w:noWrap/>
            <w:vAlign w:val="center"/>
          </w:tcPr>
          <w:p w:rsidR="00E8413D" w:rsidRDefault="00E8413D">
            <w:pPr>
              <w:widowControl/>
              <w:spacing w:line="320" w:lineRule="exact"/>
              <w:jc w:val="left"/>
              <w:rPr>
                <w:rFonts w:ascii="仿宋_GB2312" w:hAnsi="仿宋_GB2312" w:cs="仿宋_GB2312"/>
                <w:color w:val="000000"/>
                <w:kern w:val="0"/>
                <w:sz w:val="24"/>
                <w:szCs w:val="24"/>
              </w:rPr>
            </w:pPr>
          </w:p>
        </w:tc>
        <w:tc>
          <w:tcPr>
            <w:tcW w:w="248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就业促进和失业保险科、市劳动就业中心</w:t>
            </w:r>
          </w:p>
        </w:tc>
        <w:tc>
          <w:tcPr>
            <w:tcW w:w="1275" w:type="dxa"/>
            <w:vMerge/>
            <w:tcBorders>
              <w:left w:val="single" w:sz="8" w:space="0" w:color="auto"/>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r>
      <w:tr w:rsidR="00E8413D">
        <w:trPr>
          <w:trHeight w:val="920"/>
          <w:jc w:val="center"/>
        </w:trPr>
        <w:tc>
          <w:tcPr>
            <w:tcW w:w="880" w:type="dxa"/>
            <w:vMerge/>
            <w:tcBorders>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c>
          <w:tcPr>
            <w:tcW w:w="1545" w:type="dxa"/>
            <w:vMerge/>
            <w:tcBorders>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c>
          <w:tcPr>
            <w:tcW w:w="3765" w:type="dxa"/>
            <w:tcBorders>
              <w:top w:val="nil"/>
              <w:left w:val="nil"/>
              <w:bottom w:val="single" w:sz="8" w:space="0" w:color="auto"/>
              <w:right w:val="single" w:sz="8" w:space="0" w:color="auto"/>
            </w:tcBorders>
            <w:noWrap/>
            <w:vAlign w:val="center"/>
          </w:tcPr>
          <w:p w:rsidR="00E8413D" w:rsidRDefault="008F49DB">
            <w:pPr>
              <w:widowControl/>
              <w:spacing w:line="320" w:lineRule="exact"/>
              <w:jc w:val="left"/>
              <w:rPr>
                <w:rFonts w:ascii="仿宋_GB2312" w:hAnsi="仿宋_GB2312" w:cs="仿宋_GB2312"/>
                <w:color w:val="0000FF"/>
                <w:kern w:val="0"/>
                <w:sz w:val="24"/>
                <w:szCs w:val="24"/>
                <w:u w:val="single"/>
              </w:rPr>
            </w:pPr>
            <w:hyperlink r:id="rId9" w:tgtFrame="_blank" w:history="1">
              <w:r w:rsidR="0087241F">
                <w:rPr>
                  <w:rFonts w:ascii="仿宋_GB2312" w:hAnsi="仿宋_GB2312" w:cs="仿宋_GB2312" w:hint="eastAsia"/>
                  <w:color w:val="000000"/>
                  <w:kern w:val="0"/>
                  <w:sz w:val="24"/>
                  <w:szCs w:val="24"/>
                </w:rPr>
                <w:t>《工伤保险条例》以及《工伤认定办法》等有关法律法规</w:t>
              </w:r>
            </w:hyperlink>
          </w:p>
        </w:tc>
        <w:tc>
          <w:tcPr>
            <w:tcW w:w="4344" w:type="dxa"/>
            <w:vMerge/>
            <w:tcBorders>
              <w:left w:val="single" w:sz="8" w:space="0" w:color="auto"/>
              <w:bottom w:val="single" w:sz="8" w:space="0" w:color="000000"/>
              <w:right w:val="single" w:sz="8" w:space="0" w:color="auto"/>
            </w:tcBorders>
            <w:noWrap/>
            <w:vAlign w:val="center"/>
          </w:tcPr>
          <w:p w:rsidR="00E8413D" w:rsidRDefault="00E8413D">
            <w:pPr>
              <w:widowControl/>
              <w:spacing w:line="320" w:lineRule="exact"/>
              <w:jc w:val="left"/>
              <w:rPr>
                <w:rFonts w:ascii="仿宋_GB2312" w:hAnsi="仿宋_GB2312" w:cs="仿宋_GB2312"/>
                <w:color w:val="000000"/>
                <w:kern w:val="0"/>
                <w:sz w:val="24"/>
                <w:szCs w:val="24"/>
              </w:rPr>
            </w:pPr>
          </w:p>
        </w:tc>
        <w:tc>
          <w:tcPr>
            <w:tcW w:w="248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工伤保险科、市社会保险中心</w:t>
            </w:r>
          </w:p>
        </w:tc>
        <w:tc>
          <w:tcPr>
            <w:tcW w:w="1275" w:type="dxa"/>
            <w:vMerge/>
            <w:tcBorders>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r>
      <w:tr w:rsidR="00E8413D">
        <w:trPr>
          <w:trHeight w:val="397"/>
          <w:jc w:val="center"/>
        </w:trPr>
        <w:tc>
          <w:tcPr>
            <w:tcW w:w="880" w:type="dxa"/>
            <w:vMerge w:val="restart"/>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lastRenderedPageBreak/>
              <w:t>6</w:t>
            </w:r>
          </w:p>
        </w:tc>
        <w:tc>
          <w:tcPr>
            <w:tcW w:w="1545" w:type="dxa"/>
            <w:vMerge w:val="restart"/>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人事人才类</w:t>
            </w:r>
          </w:p>
        </w:tc>
        <w:tc>
          <w:tcPr>
            <w:tcW w:w="376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sz w:val="24"/>
                <w:szCs w:val="24"/>
              </w:rPr>
              <w:t>《事业单位人事管理条例》以及《事业单位工作人员处分暂行规定》</w:t>
            </w:r>
          </w:p>
        </w:tc>
        <w:tc>
          <w:tcPr>
            <w:tcW w:w="4344" w:type="dxa"/>
            <w:vMerge w:val="restart"/>
            <w:tcBorders>
              <w:top w:val="nil"/>
              <w:left w:val="nil"/>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①结合“法律六进”开展多种宣传活动；</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②利用例会、局公开栏、官方网站、微信公众号等进行宣传;</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③发放宣传单、宣传手册等材料；</w:t>
            </w:r>
          </w:p>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④工作过程中，主动解答公众法律疑问。</w:t>
            </w:r>
          </w:p>
          <w:p w:rsidR="00E8413D" w:rsidRDefault="00E8413D">
            <w:pPr>
              <w:spacing w:line="320" w:lineRule="exact"/>
              <w:jc w:val="left"/>
              <w:rPr>
                <w:rFonts w:ascii="仿宋_GB2312" w:hAnsi="仿宋_GB2312" w:cs="仿宋_GB2312"/>
                <w:color w:val="000000"/>
                <w:kern w:val="0"/>
                <w:sz w:val="24"/>
                <w:szCs w:val="24"/>
              </w:rPr>
            </w:pPr>
          </w:p>
        </w:tc>
        <w:tc>
          <w:tcPr>
            <w:tcW w:w="248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sz w:val="24"/>
                <w:szCs w:val="24"/>
              </w:rPr>
              <w:t>事业单位人事管理科、</w:t>
            </w:r>
            <w:r>
              <w:rPr>
                <w:rFonts w:ascii="仿宋_GB2312" w:hAnsi="仿宋_GB2312" w:cs="仿宋_GB2312" w:hint="eastAsia"/>
                <w:color w:val="000000"/>
                <w:kern w:val="0"/>
                <w:sz w:val="24"/>
                <w:szCs w:val="24"/>
              </w:rPr>
              <w:t>政府表彰和考核任免科</w:t>
            </w:r>
          </w:p>
        </w:tc>
        <w:tc>
          <w:tcPr>
            <w:tcW w:w="1275" w:type="dxa"/>
            <w:vMerge w:val="restart"/>
            <w:tcBorders>
              <w:top w:val="nil"/>
              <w:left w:val="single" w:sz="8" w:space="0" w:color="auto"/>
              <w:bottom w:val="single" w:sz="8" w:space="0" w:color="000000"/>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市人社系统全体干部、服务对象、执法对象</w:t>
            </w:r>
          </w:p>
        </w:tc>
      </w:tr>
      <w:tr w:rsidR="00E8413D">
        <w:trPr>
          <w:trHeight w:val="397"/>
          <w:jc w:val="center"/>
        </w:trPr>
        <w:tc>
          <w:tcPr>
            <w:tcW w:w="880" w:type="dxa"/>
            <w:vMerge/>
            <w:tcBorders>
              <w:top w:val="nil"/>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c>
          <w:tcPr>
            <w:tcW w:w="1545" w:type="dxa"/>
            <w:vMerge/>
            <w:tcBorders>
              <w:top w:val="nil"/>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c>
          <w:tcPr>
            <w:tcW w:w="376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《民办教育促进法》、《专业技术人员继续教育规定》等有关法律法规</w:t>
            </w:r>
          </w:p>
        </w:tc>
        <w:tc>
          <w:tcPr>
            <w:tcW w:w="4344" w:type="dxa"/>
            <w:vMerge/>
            <w:tcBorders>
              <w:left w:val="nil"/>
              <w:right w:val="single" w:sz="8" w:space="0" w:color="auto"/>
            </w:tcBorders>
            <w:noWrap/>
            <w:vAlign w:val="center"/>
          </w:tcPr>
          <w:p w:rsidR="00E8413D" w:rsidRDefault="00E8413D">
            <w:pPr>
              <w:spacing w:line="320" w:lineRule="exact"/>
              <w:jc w:val="left"/>
              <w:rPr>
                <w:rFonts w:ascii="仿宋_GB2312" w:hAnsi="仿宋_GB2312" w:cs="仿宋_GB2312"/>
                <w:color w:val="000000"/>
                <w:kern w:val="0"/>
                <w:sz w:val="24"/>
                <w:szCs w:val="24"/>
              </w:rPr>
            </w:pPr>
          </w:p>
        </w:tc>
        <w:tc>
          <w:tcPr>
            <w:tcW w:w="248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职业能力建设科</w:t>
            </w:r>
          </w:p>
        </w:tc>
        <w:tc>
          <w:tcPr>
            <w:tcW w:w="1275" w:type="dxa"/>
            <w:vMerge/>
            <w:tcBorders>
              <w:top w:val="nil"/>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r>
      <w:tr w:rsidR="00E8413D">
        <w:trPr>
          <w:trHeight w:val="397"/>
          <w:jc w:val="center"/>
        </w:trPr>
        <w:tc>
          <w:tcPr>
            <w:tcW w:w="880" w:type="dxa"/>
            <w:vMerge/>
            <w:tcBorders>
              <w:top w:val="nil"/>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c>
          <w:tcPr>
            <w:tcW w:w="1545" w:type="dxa"/>
            <w:vMerge/>
            <w:tcBorders>
              <w:top w:val="nil"/>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c>
          <w:tcPr>
            <w:tcW w:w="376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kern w:val="0"/>
                <w:sz w:val="24"/>
                <w:szCs w:val="24"/>
              </w:rPr>
            </w:pPr>
            <w:r>
              <w:rPr>
                <w:rFonts w:ascii="仿宋_GB2312" w:hAnsi="仿宋_GB2312" w:cs="仿宋_GB2312" w:hint="eastAsia"/>
                <w:kern w:val="0"/>
                <w:sz w:val="24"/>
                <w:szCs w:val="24"/>
              </w:rPr>
              <w:t>《事业单位公开招聘人员暂行规定》、《人力资源市场暂行条例》</w:t>
            </w:r>
          </w:p>
        </w:tc>
        <w:tc>
          <w:tcPr>
            <w:tcW w:w="4344" w:type="dxa"/>
            <w:vMerge/>
            <w:tcBorders>
              <w:left w:val="nil"/>
              <w:right w:val="single" w:sz="8" w:space="0" w:color="auto"/>
            </w:tcBorders>
            <w:noWrap/>
            <w:vAlign w:val="center"/>
          </w:tcPr>
          <w:p w:rsidR="00E8413D" w:rsidRDefault="00E8413D">
            <w:pPr>
              <w:spacing w:line="320" w:lineRule="exact"/>
              <w:jc w:val="left"/>
              <w:rPr>
                <w:rFonts w:ascii="仿宋_GB2312" w:hAnsi="仿宋_GB2312" w:cs="仿宋_GB2312"/>
                <w:color w:val="000000"/>
                <w:kern w:val="0"/>
                <w:sz w:val="24"/>
                <w:szCs w:val="24"/>
              </w:rPr>
            </w:pPr>
          </w:p>
        </w:tc>
        <w:tc>
          <w:tcPr>
            <w:tcW w:w="248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人力资源开发科</w:t>
            </w:r>
          </w:p>
        </w:tc>
        <w:tc>
          <w:tcPr>
            <w:tcW w:w="1275" w:type="dxa"/>
            <w:vMerge/>
            <w:tcBorders>
              <w:top w:val="nil"/>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r>
      <w:tr w:rsidR="00E8413D">
        <w:trPr>
          <w:trHeight w:val="397"/>
          <w:jc w:val="center"/>
        </w:trPr>
        <w:tc>
          <w:tcPr>
            <w:tcW w:w="880" w:type="dxa"/>
            <w:tcBorders>
              <w:top w:val="nil"/>
              <w:left w:val="single" w:sz="8" w:space="0" w:color="auto"/>
              <w:bottom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7</w:t>
            </w:r>
          </w:p>
        </w:tc>
        <w:tc>
          <w:tcPr>
            <w:tcW w:w="1545" w:type="dxa"/>
            <w:tcBorders>
              <w:top w:val="nil"/>
              <w:left w:val="nil"/>
              <w:bottom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劳动争议类</w:t>
            </w:r>
          </w:p>
        </w:tc>
        <w:tc>
          <w:tcPr>
            <w:tcW w:w="376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《中华人民共和国劳动争议调解仲裁法》以及《劳动人事争议仲裁办案规则》等有关法律法规</w:t>
            </w:r>
          </w:p>
        </w:tc>
        <w:tc>
          <w:tcPr>
            <w:tcW w:w="4344" w:type="dxa"/>
            <w:vMerge/>
            <w:tcBorders>
              <w:left w:val="nil"/>
              <w:right w:val="single" w:sz="8" w:space="0" w:color="auto"/>
            </w:tcBorders>
            <w:noWrap/>
            <w:vAlign w:val="center"/>
          </w:tcPr>
          <w:p w:rsidR="00E8413D" w:rsidRDefault="00E8413D">
            <w:pPr>
              <w:spacing w:line="320" w:lineRule="exact"/>
              <w:jc w:val="left"/>
              <w:rPr>
                <w:rFonts w:ascii="仿宋_GB2312" w:hAnsi="仿宋_GB2312" w:cs="仿宋_GB2312"/>
                <w:color w:val="000000"/>
                <w:kern w:val="0"/>
                <w:sz w:val="24"/>
                <w:szCs w:val="24"/>
              </w:rPr>
            </w:pPr>
          </w:p>
        </w:tc>
        <w:tc>
          <w:tcPr>
            <w:tcW w:w="248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调解仲裁管理科、市劳动人事争议仲裁院</w:t>
            </w:r>
          </w:p>
        </w:tc>
        <w:tc>
          <w:tcPr>
            <w:tcW w:w="1275" w:type="dxa"/>
            <w:vMerge/>
            <w:tcBorders>
              <w:top w:val="nil"/>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r>
      <w:tr w:rsidR="00E8413D">
        <w:trPr>
          <w:trHeight w:val="397"/>
          <w:jc w:val="center"/>
        </w:trPr>
        <w:tc>
          <w:tcPr>
            <w:tcW w:w="880" w:type="dxa"/>
            <w:tcBorders>
              <w:top w:val="nil"/>
              <w:left w:val="single" w:sz="8" w:space="0" w:color="auto"/>
              <w:bottom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8</w:t>
            </w:r>
          </w:p>
        </w:tc>
        <w:tc>
          <w:tcPr>
            <w:tcW w:w="1545" w:type="dxa"/>
            <w:tcBorders>
              <w:top w:val="nil"/>
              <w:left w:val="nil"/>
              <w:bottom w:val="single" w:sz="8" w:space="0" w:color="auto"/>
              <w:right w:val="single" w:sz="8" w:space="0" w:color="auto"/>
            </w:tcBorders>
            <w:noWrap/>
            <w:vAlign w:val="center"/>
          </w:tcPr>
          <w:p w:rsidR="00E8413D" w:rsidRDefault="0087241F">
            <w:pPr>
              <w:widowControl/>
              <w:spacing w:line="320" w:lineRule="exact"/>
              <w:jc w:val="center"/>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劳动监察类</w:t>
            </w:r>
          </w:p>
        </w:tc>
        <w:tc>
          <w:tcPr>
            <w:tcW w:w="376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《劳动保障监察条例》以及《重大劳动保障违法行为社会公布办法》、《保障农民工工资支付条例》等有关法律法规</w:t>
            </w:r>
          </w:p>
        </w:tc>
        <w:tc>
          <w:tcPr>
            <w:tcW w:w="4344" w:type="dxa"/>
            <w:vMerge/>
            <w:tcBorders>
              <w:left w:val="nil"/>
              <w:bottom w:val="single" w:sz="8" w:space="0" w:color="auto"/>
              <w:right w:val="single" w:sz="8" w:space="0" w:color="auto"/>
            </w:tcBorders>
            <w:noWrap/>
            <w:vAlign w:val="center"/>
          </w:tcPr>
          <w:p w:rsidR="00E8413D" w:rsidRDefault="00E8413D">
            <w:pPr>
              <w:widowControl/>
              <w:spacing w:line="320" w:lineRule="exact"/>
              <w:jc w:val="left"/>
              <w:rPr>
                <w:rFonts w:ascii="仿宋_GB2312" w:hAnsi="仿宋_GB2312" w:cs="仿宋_GB2312"/>
                <w:color w:val="000000"/>
                <w:kern w:val="0"/>
                <w:sz w:val="24"/>
                <w:szCs w:val="24"/>
              </w:rPr>
            </w:pPr>
          </w:p>
        </w:tc>
        <w:tc>
          <w:tcPr>
            <w:tcW w:w="2485" w:type="dxa"/>
            <w:tcBorders>
              <w:top w:val="nil"/>
              <w:left w:val="nil"/>
              <w:bottom w:val="single" w:sz="8" w:space="0" w:color="auto"/>
              <w:right w:val="single" w:sz="8" w:space="0" w:color="auto"/>
            </w:tcBorders>
            <w:noWrap/>
            <w:vAlign w:val="center"/>
          </w:tcPr>
          <w:p w:rsidR="00E8413D" w:rsidRDefault="0087241F">
            <w:pPr>
              <w:widowControl/>
              <w:spacing w:line="320" w:lineRule="exact"/>
              <w:jc w:val="lef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劳动关系和监察科、市劳动保障监察支队</w:t>
            </w:r>
          </w:p>
        </w:tc>
        <w:tc>
          <w:tcPr>
            <w:tcW w:w="1275" w:type="dxa"/>
            <w:vMerge/>
            <w:tcBorders>
              <w:top w:val="nil"/>
              <w:left w:val="single" w:sz="8" w:space="0" w:color="auto"/>
              <w:bottom w:val="single" w:sz="8" w:space="0" w:color="000000"/>
              <w:right w:val="single" w:sz="8" w:space="0" w:color="auto"/>
            </w:tcBorders>
            <w:noWrap/>
            <w:vAlign w:val="center"/>
          </w:tcPr>
          <w:p w:rsidR="00E8413D" w:rsidRDefault="00E8413D">
            <w:pPr>
              <w:widowControl/>
              <w:spacing w:line="320" w:lineRule="exact"/>
              <w:jc w:val="center"/>
              <w:rPr>
                <w:rFonts w:ascii="仿宋_GB2312" w:hAnsi="仿宋_GB2312" w:cs="仿宋_GB2312"/>
                <w:color w:val="000000"/>
                <w:kern w:val="0"/>
                <w:sz w:val="24"/>
                <w:szCs w:val="24"/>
              </w:rPr>
            </w:pPr>
          </w:p>
        </w:tc>
      </w:tr>
    </w:tbl>
    <w:p w:rsidR="00E8413D" w:rsidRDefault="00E8413D">
      <w:pPr>
        <w:spacing w:line="560" w:lineRule="exact"/>
        <w:rPr>
          <w:rFonts w:ascii="方正小标宋简体" w:eastAsia="方正小标宋简体" w:hAnsi="方正小标宋简体" w:cs="方正小标宋简体"/>
          <w:sz w:val="44"/>
          <w:szCs w:val="32"/>
        </w:rPr>
      </w:pPr>
    </w:p>
    <w:p w:rsidR="00E8413D" w:rsidRDefault="00E8413D">
      <w:pPr>
        <w:pStyle w:val="Default"/>
        <w:rPr>
          <w:rFonts w:ascii="方正小标宋简体" w:eastAsia="方正小标宋简体" w:hAnsi="方正小标宋简体" w:cs="方正小标宋简体" w:hint="default"/>
          <w:sz w:val="44"/>
          <w:szCs w:val="32"/>
        </w:rPr>
      </w:pPr>
    </w:p>
    <w:p w:rsidR="00E8413D" w:rsidRDefault="00E8413D">
      <w:pPr>
        <w:pStyle w:val="Default"/>
        <w:rPr>
          <w:rFonts w:ascii="方正小标宋简体" w:eastAsia="方正小标宋简体" w:hAnsi="方正小标宋简体" w:cs="方正小标宋简体" w:hint="default"/>
          <w:sz w:val="44"/>
          <w:szCs w:val="32"/>
        </w:rPr>
      </w:pPr>
    </w:p>
    <w:p w:rsidR="00E8413D" w:rsidRDefault="0087241F">
      <w:pPr>
        <w:pStyle w:val="Default"/>
        <w:spacing w:line="560" w:lineRule="exact"/>
        <w:rPr>
          <w:rFonts w:ascii="黑体" w:eastAsia="黑体" w:hAnsi="黑体" w:cs="黑体" w:hint="default"/>
          <w:sz w:val="32"/>
          <w:szCs w:val="32"/>
        </w:rPr>
      </w:pPr>
      <w:r>
        <w:rPr>
          <w:rFonts w:ascii="黑体" w:eastAsia="黑体" w:hAnsi="黑体" w:cs="黑体"/>
          <w:sz w:val="32"/>
          <w:szCs w:val="32"/>
        </w:rPr>
        <w:lastRenderedPageBreak/>
        <w:t xml:space="preserve">附件2 </w:t>
      </w:r>
    </w:p>
    <w:p w:rsidR="00E8413D" w:rsidRDefault="0087241F" w:rsidP="00A216A1">
      <w:pPr>
        <w:pStyle w:val="Default"/>
        <w:spacing w:afterLines="20" w:line="560" w:lineRule="exact"/>
        <w:jc w:val="center"/>
        <w:rPr>
          <w:rFonts w:ascii="方正小标宋简体" w:eastAsia="方正小标宋简体" w:hAnsi="方正小标宋简体" w:cs="方正小标宋简体" w:hint="default"/>
          <w:sz w:val="44"/>
          <w:szCs w:val="32"/>
        </w:rPr>
      </w:pPr>
      <w:r>
        <w:rPr>
          <w:rFonts w:ascii="方正小标宋简体" w:eastAsia="方正小标宋简体" w:hAnsi="方正小标宋简体" w:cs="方正小标宋简体"/>
          <w:sz w:val="44"/>
          <w:szCs w:val="32"/>
        </w:rPr>
        <w:t>三明市人力资源和社会保障局2022年普法计划安排表</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3969"/>
        <w:gridCol w:w="3295"/>
        <w:gridCol w:w="1418"/>
      </w:tblGrid>
      <w:tr w:rsidR="00E8413D">
        <w:trPr>
          <w:trHeight w:val="397"/>
          <w:tblHeader/>
          <w:jc w:val="center"/>
        </w:trPr>
        <w:tc>
          <w:tcPr>
            <w:tcW w:w="1101" w:type="dxa"/>
            <w:noWrap/>
            <w:vAlign w:val="center"/>
          </w:tcPr>
          <w:p w:rsidR="00E8413D" w:rsidRDefault="0087241F">
            <w:pPr>
              <w:spacing w:line="56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时间</w:t>
            </w:r>
          </w:p>
        </w:tc>
        <w:tc>
          <w:tcPr>
            <w:tcW w:w="5244" w:type="dxa"/>
            <w:noWrap/>
            <w:vAlign w:val="center"/>
          </w:tcPr>
          <w:p w:rsidR="00E8413D" w:rsidRDefault="0087241F">
            <w:pPr>
              <w:spacing w:line="56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普法内容</w:t>
            </w:r>
          </w:p>
        </w:tc>
        <w:tc>
          <w:tcPr>
            <w:tcW w:w="3969" w:type="dxa"/>
            <w:noWrap/>
            <w:vAlign w:val="center"/>
          </w:tcPr>
          <w:p w:rsidR="00E8413D" w:rsidRDefault="0087241F">
            <w:pPr>
              <w:spacing w:line="56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普法形式</w:t>
            </w:r>
          </w:p>
        </w:tc>
        <w:tc>
          <w:tcPr>
            <w:tcW w:w="3295" w:type="dxa"/>
            <w:noWrap/>
            <w:vAlign w:val="center"/>
          </w:tcPr>
          <w:p w:rsidR="00E8413D" w:rsidRDefault="0087241F">
            <w:pPr>
              <w:spacing w:line="56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责任科室（直属单位）</w:t>
            </w:r>
          </w:p>
        </w:tc>
        <w:tc>
          <w:tcPr>
            <w:tcW w:w="1418" w:type="dxa"/>
            <w:noWrap/>
            <w:vAlign w:val="center"/>
          </w:tcPr>
          <w:p w:rsidR="00E8413D" w:rsidRDefault="0087241F">
            <w:pPr>
              <w:spacing w:line="560" w:lineRule="exact"/>
              <w:jc w:val="center"/>
              <w:rPr>
                <w:rFonts w:ascii="仿宋_GB2312" w:hAnsi="仿宋_GB2312" w:cs="仿宋_GB2312"/>
                <w:b/>
                <w:color w:val="000000"/>
                <w:sz w:val="24"/>
                <w:szCs w:val="24"/>
              </w:rPr>
            </w:pPr>
            <w:r>
              <w:rPr>
                <w:rFonts w:ascii="仿宋_GB2312" w:hAnsi="仿宋_GB2312" w:cs="仿宋_GB2312" w:hint="eastAsia"/>
                <w:b/>
                <w:color w:val="000000"/>
                <w:sz w:val="24"/>
                <w:szCs w:val="24"/>
              </w:rPr>
              <w:t>普法对象</w:t>
            </w:r>
          </w:p>
        </w:tc>
      </w:tr>
      <w:tr w:rsidR="00E8413D">
        <w:trPr>
          <w:trHeight w:val="1684"/>
          <w:jc w:val="center"/>
        </w:trPr>
        <w:tc>
          <w:tcPr>
            <w:tcW w:w="1101" w:type="dxa"/>
            <w:noWrap/>
            <w:vAlign w:val="center"/>
          </w:tcPr>
          <w:p w:rsidR="00E8413D" w:rsidRDefault="0087241F">
            <w:pPr>
              <w:spacing w:line="34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全年</w:t>
            </w:r>
          </w:p>
        </w:tc>
        <w:tc>
          <w:tcPr>
            <w:tcW w:w="5244" w:type="dxa"/>
            <w:noWrap/>
            <w:vAlign w:val="center"/>
          </w:tcPr>
          <w:p w:rsidR="00E8413D" w:rsidRDefault="0087241F">
            <w:pPr>
              <w:spacing w:line="360" w:lineRule="exact"/>
              <w:rPr>
                <w:rFonts w:ascii="仿宋_GB2312" w:hAnsi="仿宋_GB2312" w:cs="仿宋_GB2312"/>
                <w:color w:val="000000"/>
                <w:sz w:val="24"/>
                <w:szCs w:val="24"/>
              </w:rPr>
            </w:pPr>
            <w:r>
              <w:rPr>
                <w:rFonts w:ascii="仿宋_GB2312" w:hAnsi="仿宋_GB2312" w:cs="仿宋_GB2312" w:hint="eastAsia"/>
                <w:color w:val="000000"/>
                <w:kern w:val="0"/>
                <w:sz w:val="24"/>
                <w:szCs w:val="24"/>
              </w:rPr>
              <w:t>《中华人民共和国宪法》《民法典》《中华人民共</w:t>
            </w:r>
            <w:r>
              <w:rPr>
                <w:rFonts w:ascii="仿宋_GB2312" w:hAnsi="仿宋_GB2312" w:cs="仿宋_GB2312" w:hint="eastAsia"/>
                <w:kern w:val="0"/>
                <w:sz w:val="24"/>
                <w:szCs w:val="24"/>
              </w:rPr>
              <w:t>和国行政许可法》《中华人民共和国行政诉讼法》</w:t>
            </w:r>
            <w:r>
              <w:rPr>
                <w:rFonts w:ascii="仿宋_GB2312" w:hAnsi="仿宋_GB2312" w:cs="仿宋_GB2312" w:hint="eastAsia"/>
                <w:color w:val="000000"/>
                <w:kern w:val="0"/>
                <w:sz w:val="24"/>
                <w:szCs w:val="24"/>
              </w:rPr>
              <w:t>《中华人民共和国乡村振兴促进法》《优化营商环境条例》</w:t>
            </w:r>
            <w:r>
              <w:rPr>
                <w:rFonts w:ascii="仿宋_GB2312" w:hAnsi="仿宋_GB2312" w:cs="仿宋_GB2312" w:hint="eastAsia"/>
                <w:kern w:val="0"/>
                <w:sz w:val="24"/>
                <w:szCs w:val="24"/>
              </w:rPr>
              <w:t>等法律法规和《中国共产党章程》《中国共产党廉洁自律准则》《中国共产党纪律处分条例》《福建省评比达标表彰活动管理实施细则》等党内法规</w:t>
            </w:r>
          </w:p>
        </w:tc>
        <w:tc>
          <w:tcPr>
            <w:tcW w:w="3969" w:type="dxa"/>
            <w:noWrap/>
            <w:vAlign w:val="center"/>
          </w:tcPr>
          <w:p w:rsidR="00E8413D" w:rsidRDefault="0087241F">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①利用</w:t>
            </w:r>
            <w:r>
              <w:rPr>
                <w:rFonts w:ascii="仿宋_GB2312" w:hAnsi="仿宋_GB2312" w:cs="仿宋_GB2312" w:hint="eastAsia"/>
                <w:sz w:val="24"/>
                <w:szCs w:val="24"/>
              </w:rPr>
              <w:t>例会、</w:t>
            </w:r>
            <w:r>
              <w:rPr>
                <w:rFonts w:ascii="仿宋_GB2312" w:hAnsi="仿宋_GB2312" w:cs="仿宋_GB2312" w:hint="eastAsia"/>
                <w:kern w:val="0"/>
                <w:sz w:val="24"/>
                <w:szCs w:val="24"/>
              </w:rPr>
              <w:t>局公开栏、官方网站、微信公众号等进行宣传;</w:t>
            </w:r>
          </w:p>
          <w:p w:rsidR="00E8413D" w:rsidRDefault="0087241F">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②发放宣传单、宣传手册等材料；</w:t>
            </w:r>
          </w:p>
          <w:p w:rsidR="00E8413D" w:rsidRDefault="0087241F">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③开展党委（党组）理论中心组法治学习、开展法治讲座。</w:t>
            </w:r>
          </w:p>
        </w:tc>
        <w:tc>
          <w:tcPr>
            <w:tcW w:w="3295" w:type="dxa"/>
            <w:noWrap/>
            <w:vAlign w:val="center"/>
          </w:tcPr>
          <w:p w:rsidR="00E8413D" w:rsidRDefault="0087241F">
            <w:pPr>
              <w:spacing w:line="360" w:lineRule="exact"/>
              <w:rPr>
                <w:rFonts w:ascii="仿宋_GB2312" w:hAnsi="仿宋_GB2312" w:cs="仿宋_GB2312"/>
                <w:sz w:val="24"/>
                <w:szCs w:val="24"/>
              </w:rPr>
            </w:pPr>
            <w:r>
              <w:rPr>
                <w:rFonts w:ascii="仿宋_GB2312" w:hAnsi="仿宋_GB2312" w:cs="仿宋_GB2312" w:hint="eastAsia"/>
                <w:sz w:val="24"/>
                <w:szCs w:val="24"/>
              </w:rPr>
              <w:t>政策法规和审批科、机关党委</w:t>
            </w:r>
            <w:r>
              <w:rPr>
                <w:rFonts w:ascii="仿宋_GB2312" w:hAnsi="仿宋_GB2312" w:cs="仿宋_GB2312" w:hint="eastAsia"/>
                <w:kern w:val="0"/>
                <w:sz w:val="24"/>
                <w:szCs w:val="24"/>
              </w:rPr>
              <w:t>办公室</w:t>
            </w:r>
            <w:r>
              <w:rPr>
                <w:rFonts w:ascii="仿宋_GB2312" w:hAnsi="仿宋_GB2312" w:cs="仿宋_GB2312" w:hint="eastAsia"/>
                <w:sz w:val="24"/>
                <w:szCs w:val="24"/>
              </w:rPr>
              <w:t>牵头，各直属单位配合</w:t>
            </w:r>
          </w:p>
          <w:p w:rsidR="00E8413D" w:rsidRDefault="00E8413D">
            <w:pPr>
              <w:spacing w:line="360" w:lineRule="exact"/>
              <w:rPr>
                <w:rFonts w:ascii="仿宋_GB2312" w:hAnsi="仿宋_GB2312" w:cs="仿宋_GB2312"/>
                <w:sz w:val="24"/>
                <w:szCs w:val="24"/>
              </w:rPr>
            </w:pPr>
          </w:p>
        </w:tc>
        <w:tc>
          <w:tcPr>
            <w:tcW w:w="1418" w:type="dxa"/>
            <w:vMerge w:val="restart"/>
            <w:noWrap/>
            <w:vAlign w:val="center"/>
          </w:tcPr>
          <w:p w:rsidR="00E8413D" w:rsidRDefault="0087241F">
            <w:pPr>
              <w:spacing w:line="340" w:lineRule="exact"/>
              <w:rPr>
                <w:rFonts w:ascii="仿宋_GB2312" w:hAnsi="仿宋_GB2312" w:cs="仿宋_GB2312"/>
                <w:color w:val="000000"/>
                <w:sz w:val="24"/>
                <w:szCs w:val="24"/>
              </w:rPr>
            </w:pPr>
            <w:r>
              <w:rPr>
                <w:rFonts w:ascii="仿宋_GB2312" w:hAnsi="仿宋_GB2312" w:cs="仿宋_GB2312" w:hint="eastAsia"/>
                <w:color w:val="000000"/>
                <w:kern w:val="0"/>
                <w:sz w:val="24"/>
                <w:szCs w:val="24"/>
              </w:rPr>
              <w:t>市人社系统全体干部、服务对象、执法对象</w:t>
            </w:r>
          </w:p>
        </w:tc>
      </w:tr>
      <w:tr w:rsidR="00E8413D">
        <w:trPr>
          <w:trHeight w:val="1280"/>
          <w:jc w:val="center"/>
        </w:trPr>
        <w:tc>
          <w:tcPr>
            <w:tcW w:w="1101" w:type="dxa"/>
            <w:noWrap/>
            <w:vAlign w:val="center"/>
          </w:tcPr>
          <w:p w:rsidR="00E8413D" w:rsidRDefault="0087241F">
            <w:pPr>
              <w:spacing w:line="34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1月</w:t>
            </w:r>
          </w:p>
        </w:tc>
        <w:tc>
          <w:tcPr>
            <w:tcW w:w="5244" w:type="dxa"/>
            <w:noWrap/>
            <w:vAlign w:val="center"/>
          </w:tcPr>
          <w:p w:rsidR="00E8413D" w:rsidRDefault="0087241F">
            <w:pPr>
              <w:spacing w:line="360" w:lineRule="exact"/>
              <w:rPr>
                <w:rFonts w:ascii="仿宋_GB2312" w:hAnsi="仿宋_GB2312" w:cs="仿宋_GB2312"/>
                <w:color w:val="000000"/>
                <w:sz w:val="24"/>
                <w:szCs w:val="24"/>
              </w:rPr>
            </w:pPr>
            <w:r>
              <w:rPr>
                <w:rFonts w:ascii="仿宋_GB2312" w:hAnsi="仿宋_GB2312" w:cs="仿宋_GB2312" w:hint="eastAsia"/>
                <w:color w:val="000000"/>
                <w:sz w:val="24"/>
                <w:szCs w:val="24"/>
              </w:rPr>
              <w:t>《中华人民共和国劳动法》、</w:t>
            </w:r>
            <w:r>
              <w:rPr>
                <w:rFonts w:ascii="仿宋_GB2312" w:hAnsi="仿宋_GB2312" w:cs="仿宋_GB2312" w:hint="eastAsia"/>
                <w:color w:val="000000"/>
                <w:kern w:val="0"/>
                <w:sz w:val="24"/>
                <w:szCs w:val="24"/>
              </w:rPr>
              <w:t>《劳动保障监察条例》、《保障农民工工资支付条例》、《中华人民共和国劳动争议调解仲裁法》</w:t>
            </w:r>
            <w:r>
              <w:rPr>
                <w:rFonts w:ascii="仿宋_GB2312" w:hAnsi="仿宋_GB2312" w:cs="仿宋_GB2312" w:hint="eastAsia"/>
                <w:color w:val="000000"/>
                <w:sz w:val="24"/>
                <w:szCs w:val="24"/>
              </w:rPr>
              <w:t>等有关法律法规</w:t>
            </w:r>
          </w:p>
        </w:tc>
        <w:tc>
          <w:tcPr>
            <w:tcW w:w="3969" w:type="dxa"/>
            <w:vMerge w:val="restart"/>
            <w:noWrap/>
            <w:vAlign w:val="center"/>
          </w:tcPr>
          <w:p w:rsidR="00E8413D" w:rsidRDefault="0087241F">
            <w:pPr>
              <w:spacing w:line="360" w:lineRule="exac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①结合“法律六进”开展多种宣传活动；②利用</w:t>
            </w:r>
            <w:r>
              <w:rPr>
                <w:rFonts w:ascii="仿宋_GB2312" w:hAnsi="仿宋_GB2312" w:cs="仿宋_GB2312" w:hint="eastAsia"/>
                <w:color w:val="000000"/>
                <w:sz w:val="24"/>
                <w:szCs w:val="24"/>
              </w:rPr>
              <w:t>例会、</w:t>
            </w:r>
            <w:r>
              <w:rPr>
                <w:rFonts w:ascii="仿宋_GB2312" w:hAnsi="仿宋_GB2312" w:cs="仿宋_GB2312" w:hint="eastAsia"/>
                <w:color w:val="000000"/>
                <w:kern w:val="0"/>
                <w:sz w:val="24"/>
                <w:szCs w:val="24"/>
              </w:rPr>
              <w:t>局公开栏、官方网站、微信公众号等进行宣传;</w:t>
            </w:r>
          </w:p>
          <w:p w:rsidR="00E8413D" w:rsidRDefault="0087241F">
            <w:pPr>
              <w:spacing w:line="360" w:lineRule="exac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③发放宣传单、宣传手册等材料；</w:t>
            </w:r>
          </w:p>
          <w:p w:rsidR="00E8413D" w:rsidRDefault="0087241F">
            <w:pPr>
              <w:spacing w:line="360" w:lineRule="exact"/>
              <w:rPr>
                <w:rFonts w:ascii="仿宋_GB2312" w:hAnsi="仿宋_GB2312" w:cs="仿宋_GB2312"/>
                <w:color w:val="000000"/>
                <w:sz w:val="24"/>
                <w:szCs w:val="24"/>
              </w:rPr>
            </w:pPr>
            <w:r>
              <w:rPr>
                <w:rFonts w:ascii="仿宋_GB2312" w:hAnsi="仿宋_GB2312" w:cs="仿宋_GB2312" w:hint="eastAsia"/>
                <w:color w:val="000000"/>
                <w:kern w:val="0"/>
                <w:sz w:val="24"/>
                <w:szCs w:val="24"/>
              </w:rPr>
              <w:t>④工作过程中，主动解答公众法律疑问。</w:t>
            </w:r>
          </w:p>
        </w:tc>
        <w:tc>
          <w:tcPr>
            <w:tcW w:w="3295" w:type="dxa"/>
            <w:noWrap/>
            <w:vAlign w:val="center"/>
          </w:tcPr>
          <w:p w:rsidR="00E8413D" w:rsidRDefault="0087241F">
            <w:pPr>
              <w:spacing w:line="360" w:lineRule="exact"/>
              <w:rPr>
                <w:rFonts w:ascii="仿宋_GB2312" w:hAnsi="仿宋_GB2312" w:cs="仿宋_GB2312"/>
                <w:color w:val="000000"/>
                <w:sz w:val="24"/>
                <w:szCs w:val="24"/>
              </w:rPr>
            </w:pPr>
            <w:r>
              <w:rPr>
                <w:rFonts w:ascii="仿宋_GB2312" w:hAnsi="仿宋_GB2312" w:cs="仿宋_GB2312" w:hint="eastAsia"/>
                <w:color w:val="000000"/>
                <w:sz w:val="24"/>
                <w:szCs w:val="24"/>
              </w:rPr>
              <w:t>政策法规和审批科、劳动关系和监察科、调解仲裁管理科、市劳动保障监察支队、市劳动人事争议仲裁院</w:t>
            </w:r>
          </w:p>
        </w:tc>
        <w:tc>
          <w:tcPr>
            <w:tcW w:w="1418" w:type="dxa"/>
            <w:vMerge/>
            <w:noWrap/>
            <w:vAlign w:val="center"/>
          </w:tcPr>
          <w:p w:rsidR="00E8413D" w:rsidRDefault="00E8413D">
            <w:pPr>
              <w:spacing w:line="340" w:lineRule="exact"/>
              <w:rPr>
                <w:rFonts w:ascii="仿宋_GB2312" w:hAnsi="仿宋_GB2312" w:cs="仿宋_GB2312"/>
                <w:color w:val="000000"/>
                <w:sz w:val="24"/>
                <w:szCs w:val="24"/>
              </w:rPr>
            </w:pPr>
          </w:p>
        </w:tc>
      </w:tr>
      <w:tr w:rsidR="00E8413D">
        <w:trPr>
          <w:trHeight w:val="858"/>
          <w:jc w:val="center"/>
        </w:trPr>
        <w:tc>
          <w:tcPr>
            <w:tcW w:w="1101" w:type="dxa"/>
            <w:noWrap/>
            <w:vAlign w:val="center"/>
          </w:tcPr>
          <w:p w:rsidR="00E8413D" w:rsidRDefault="0087241F" w:rsidP="00544386">
            <w:pPr>
              <w:spacing w:line="340" w:lineRule="exact"/>
              <w:ind w:firstLineChars="550" w:firstLine="1297"/>
              <w:jc w:val="center"/>
              <w:rPr>
                <w:rFonts w:ascii="仿宋_GB2312" w:hAnsi="仿宋_GB2312" w:cs="仿宋_GB2312"/>
                <w:color w:val="000000"/>
                <w:sz w:val="24"/>
                <w:szCs w:val="24"/>
              </w:rPr>
            </w:pPr>
            <w:r>
              <w:rPr>
                <w:rFonts w:ascii="仿宋_GB2312" w:hAnsi="仿宋_GB2312" w:cs="仿宋_GB2312" w:hint="eastAsia"/>
                <w:color w:val="000000"/>
                <w:sz w:val="24"/>
                <w:szCs w:val="24"/>
              </w:rPr>
              <w:t>22月</w:t>
            </w:r>
          </w:p>
        </w:tc>
        <w:tc>
          <w:tcPr>
            <w:tcW w:w="5244" w:type="dxa"/>
            <w:noWrap/>
            <w:vAlign w:val="center"/>
          </w:tcPr>
          <w:p w:rsidR="00E8413D" w:rsidRDefault="0087241F">
            <w:pPr>
              <w:spacing w:line="360" w:lineRule="exact"/>
              <w:rPr>
                <w:rFonts w:ascii="仿宋_GB2312" w:hAnsi="仿宋_GB2312" w:cs="仿宋_GB2312"/>
                <w:color w:val="000000"/>
                <w:sz w:val="24"/>
                <w:szCs w:val="24"/>
              </w:rPr>
            </w:pPr>
            <w:r>
              <w:rPr>
                <w:rFonts w:ascii="仿宋_GB2312" w:hAnsi="仿宋_GB2312" w:cs="仿宋_GB2312" w:hint="eastAsia"/>
                <w:color w:val="000000"/>
                <w:sz w:val="24"/>
                <w:szCs w:val="24"/>
              </w:rPr>
              <w:t>《中华人民共和国就业促进法》以及《就业服务与就业管理规定》等有关法律法规</w:t>
            </w:r>
          </w:p>
        </w:tc>
        <w:tc>
          <w:tcPr>
            <w:tcW w:w="3969" w:type="dxa"/>
            <w:vMerge/>
            <w:noWrap/>
            <w:vAlign w:val="center"/>
          </w:tcPr>
          <w:p w:rsidR="00E8413D" w:rsidRDefault="00E8413D">
            <w:pPr>
              <w:spacing w:line="360" w:lineRule="exact"/>
              <w:rPr>
                <w:rFonts w:ascii="仿宋_GB2312" w:hAnsi="仿宋_GB2312" w:cs="仿宋_GB2312"/>
                <w:color w:val="000000"/>
                <w:sz w:val="24"/>
                <w:szCs w:val="24"/>
              </w:rPr>
            </w:pPr>
          </w:p>
        </w:tc>
        <w:tc>
          <w:tcPr>
            <w:tcW w:w="3295" w:type="dxa"/>
            <w:noWrap/>
            <w:vAlign w:val="center"/>
          </w:tcPr>
          <w:p w:rsidR="00E8413D" w:rsidRDefault="0087241F">
            <w:pPr>
              <w:spacing w:line="360" w:lineRule="exact"/>
              <w:rPr>
                <w:rFonts w:ascii="仿宋_GB2312" w:hAnsi="仿宋_GB2312" w:cs="仿宋_GB2312"/>
                <w:color w:val="000000"/>
                <w:sz w:val="24"/>
                <w:szCs w:val="24"/>
              </w:rPr>
            </w:pPr>
            <w:r>
              <w:rPr>
                <w:rFonts w:ascii="仿宋_GB2312" w:hAnsi="仿宋_GB2312" w:cs="仿宋_GB2312" w:hint="eastAsia"/>
                <w:color w:val="000000"/>
                <w:sz w:val="24"/>
                <w:szCs w:val="24"/>
              </w:rPr>
              <w:t>就业促进和失业保险科、市劳动就业中心</w:t>
            </w:r>
          </w:p>
        </w:tc>
        <w:tc>
          <w:tcPr>
            <w:tcW w:w="1418" w:type="dxa"/>
            <w:vMerge/>
            <w:noWrap/>
            <w:vAlign w:val="center"/>
          </w:tcPr>
          <w:p w:rsidR="00E8413D" w:rsidRDefault="00E8413D">
            <w:pPr>
              <w:spacing w:line="340" w:lineRule="exact"/>
              <w:rPr>
                <w:rFonts w:ascii="仿宋_GB2312" w:hAnsi="仿宋_GB2312" w:cs="仿宋_GB2312"/>
                <w:color w:val="000000"/>
                <w:sz w:val="24"/>
                <w:szCs w:val="24"/>
              </w:rPr>
            </w:pPr>
          </w:p>
        </w:tc>
      </w:tr>
      <w:tr w:rsidR="00E8413D">
        <w:trPr>
          <w:trHeight w:val="1494"/>
          <w:jc w:val="center"/>
        </w:trPr>
        <w:tc>
          <w:tcPr>
            <w:tcW w:w="1101" w:type="dxa"/>
            <w:noWrap/>
            <w:vAlign w:val="center"/>
          </w:tcPr>
          <w:p w:rsidR="00E8413D" w:rsidRDefault="0087241F">
            <w:pPr>
              <w:spacing w:line="34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3月</w:t>
            </w:r>
          </w:p>
        </w:tc>
        <w:tc>
          <w:tcPr>
            <w:tcW w:w="5244" w:type="dxa"/>
            <w:noWrap/>
            <w:vAlign w:val="center"/>
          </w:tcPr>
          <w:p w:rsidR="00E8413D" w:rsidRDefault="0087241F">
            <w:pPr>
              <w:spacing w:line="360" w:lineRule="exact"/>
              <w:rPr>
                <w:rFonts w:ascii="仿宋_GB2312" w:hAnsi="仿宋_GB2312" w:cs="仿宋_GB2312"/>
                <w:color w:val="000000"/>
                <w:sz w:val="24"/>
                <w:szCs w:val="24"/>
              </w:rPr>
            </w:pPr>
            <w:r>
              <w:rPr>
                <w:rFonts w:ascii="仿宋_GB2312" w:hAnsi="仿宋_GB2312" w:cs="仿宋_GB2312" w:hint="eastAsia"/>
                <w:color w:val="000000"/>
                <w:sz w:val="24"/>
                <w:szCs w:val="24"/>
              </w:rPr>
              <w:t>《中华人民共和国劳动合同法》《中华人民共和国劳动合同法实施条例》《女职工劳动保护特别规定》《禁止使用童工规定》以及《未成年工特殊保护规定》等有关法律法规</w:t>
            </w:r>
          </w:p>
        </w:tc>
        <w:tc>
          <w:tcPr>
            <w:tcW w:w="3969" w:type="dxa"/>
            <w:vMerge/>
            <w:noWrap/>
            <w:vAlign w:val="center"/>
          </w:tcPr>
          <w:p w:rsidR="00E8413D" w:rsidRDefault="00E8413D">
            <w:pPr>
              <w:spacing w:line="360" w:lineRule="exact"/>
              <w:rPr>
                <w:rFonts w:ascii="仿宋_GB2312" w:hAnsi="仿宋_GB2312" w:cs="仿宋_GB2312"/>
                <w:color w:val="000000"/>
                <w:sz w:val="24"/>
                <w:szCs w:val="24"/>
              </w:rPr>
            </w:pPr>
          </w:p>
        </w:tc>
        <w:tc>
          <w:tcPr>
            <w:tcW w:w="3295" w:type="dxa"/>
            <w:noWrap/>
            <w:vAlign w:val="center"/>
          </w:tcPr>
          <w:p w:rsidR="00E8413D" w:rsidRDefault="0087241F">
            <w:pPr>
              <w:spacing w:line="360" w:lineRule="exact"/>
              <w:rPr>
                <w:rFonts w:ascii="仿宋_GB2312" w:hAnsi="仿宋_GB2312" w:cs="仿宋_GB2312"/>
                <w:color w:val="000000"/>
                <w:sz w:val="24"/>
                <w:szCs w:val="24"/>
              </w:rPr>
            </w:pPr>
            <w:r>
              <w:rPr>
                <w:rFonts w:ascii="仿宋_GB2312" w:hAnsi="仿宋_GB2312" w:cs="仿宋_GB2312" w:hint="eastAsia"/>
                <w:color w:val="000000"/>
                <w:sz w:val="24"/>
                <w:szCs w:val="24"/>
              </w:rPr>
              <w:t>政策法规和审批科、劳动关系和监察科、调解仲裁管理科、市劳动保障监察支队、市劳动人事争议仲裁院</w:t>
            </w:r>
          </w:p>
        </w:tc>
        <w:tc>
          <w:tcPr>
            <w:tcW w:w="1418" w:type="dxa"/>
            <w:vMerge/>
            <w:noWrap/>
            <w:vAlign w:val="center"/>
          </w:tcPr>
          <w:p w:rsidR="00E8413D" w:rsidRDefault="00E8413D">
            <w:pPr>
              <w:spacing w:line="340" w:lineRule="exact"/>
              <w:rPr>
                <w:rFonts w:ascii="仿宋_GB2312" w:hAnsi="仿宋_GB2312" w:cs="仿宋_GB2312"/>
                <w:color w:val="000000"/>
                <w:sz w:val="24"/>
                <w:szCs w:val="24"/>
              </w:rPr>
            </w:pPr>
          </w:p>
        </w:tc>
      </w:tr>
      <w:tr w:rsidR="00E8413D">
        <w:trPr>
          <w:trHeight w:val="898"/>
          <w:jc w:val="center"/>
        </w:trPr>
        <w:tc>
          <w:tcPr>
            <w:tcW w:w="1101" w:type="dxa"/>
            <w:noWrap/>
            <w:vAlign w:val="center"/>
          </w:tcPr>
          <w:p w:rsidR="00E8413D" w:rsidRDefault="0087241F">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lastRenderedPageBreak/>
              <w:t>4月</w:t>
            </w:r>
          </w:p>
        </w:tc>
        <w:tc>
          <w:tcPr>
            <w:tcW w:w="5244" w:type="dxa"/>
            <w:noWrap/>
            <w:vAlign w:val="center"/>
          </w:tcPr>
          <w:p w:rsidR="00E8413D" w:rsidRDefault="0087241F">
            <w:pPr>
              <w:spacing w:line="300" w:lineRule="exact"/>
              <w:rPr>
                <w:rFonts w:ascii="仿宋_GB2312" w:hAnsi="仿宋_GB2312" w:cs="仿宋_GB2312"/>
                <w:color w:val="000000"/>
                <w:sz w:val="24"/>
                <w:szCs w:val="24"/>
              </w:rPr>
            </w:pPr>
            <w:r>
              <w:rPr>
                <w:rFonts w:ascii="仿宋_GB2312" w:hAnsi="仿宋_GB2312" w:cs="仿宋_GB2312" w:hint="eastAsia"/>
                <w:color w:val="000000"/>
                <w:kern w:val="0"/>
                <w:sz w:val="24"/>
                <w:szCs w:val="24"/>
              </w:rPr>
              <w:t>《事业单位公开招聘人员暂行规定》、《人力资源市场暂行条例》</w:t>
            </w:r>
            <w:r>
              <w:rPr>
                <w:rFonts w:ascii="仿宋_GB2312" w:hAnsi="仿宋_GB2312" w:cs="仿宋_GB2312" w:hint="eastAsia"/>
                <w:color w:val="000000"/>
                <w:sz w:val="24"/>
                <w:szCs w:val="24"/>
              </w:rPr>
              <w:t>等有关法律法规</w:t>
            </w:r>
          </w:p>
        </w:tc>
        <w:tc>
          <w:tcPr>
            <w:tcW w:w="3969" w:type="dxa"/>
            <w:vMerge w:val="restart"/>
            <w:noWrap/>
            <w:vAlign w:val="center"/>
          </w:tcPr>
          <w:p w:rsidR="00E8413D" w:rsidRDefault="0087241F">
            <w:pPr>
              <w:spacing w:line="300" w:lineRule="exac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①结合“法律六进”开展多种宣传活动；</w:t>
            </w:r>
          </w:p>
          <w:p w:rsidR="00E8413D" w:rsidRDefault="0087241F">
            <w:pPr>
              <w:spacing w:line="300" w:lineRule="exac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②利用</w:t>
            </w:r>
            <w:r>
              <w:rPr>
                <w:rFonts w:ascii="仿宋_GB2312" w:hAnsi="仿宋_GB2312" w:cs="仿宋_GB2312" w:hint="eastAsia"/>
                <w:color w:val="000000"/>
                <w:sz w:val="24"/>
                <w:szCs w:val="24"/>
              </w:rPr>
              <w:t>例会、</w:t>
            </w:r>
            <w:r>
              <w:rPr>
                <w:rFonts w:ascii="仿宋_GB2312" w:hAnsi="仿宋_GB2312" w:cs="仿宋_GB2312" w:hint="eastAsia"/>
                <w:color w:val="000000"/>
                <w:kern w:val="0"/>
                <w:sz w:val="24"/>
                <w:szCs w:val="24"/>
              </w:rPr>
              <w:t>局公开栏、官方网站、微信公众号等进行宣传;</w:t>
            </w:r>
          </w:p>
          <w:p w:rsidR="00E8413D" w:rsidRDefault="0087241F">
            <w:pPr>
              <w:spacing w:line="300" w:lineRule="exac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③发放宣传单、宣传手册等材料；</w:t>
            </w:r>
          </w:p>
          <w:p w:rsidR="00E8413D" w:rsidRDefault="0087241F">
            <w:pPr>
              <w:spacing w:line="300" w:lineRule="exact"/>
              <w:rPr>
                <w:rFonts w:ascii="仿宋_GB2312" w:hAnsi="仿宋_GB2312" w:cs="仿宋_GB2312"/>
                <w:color w:val="000000"/>
                <w:sz w:val="24"/>
                <w:szCs w:val="24"/>
              </w:rPr>
            </w:pPr>
            <w:r>
              <w:rPr>
                <w:rFonts w:ascii="仿宋_GB2312" w:hAnsi="仿宋_GB2312" w:cs="仿宋_GB2312" w:hint="eastAsia"/>
                <w:color w:val="000000"/>
                <w:kern w:val="0"/>
                <w:sz w:val="24"/>
                <w:szCs w:val="24"/>
              </w:rPr>
              <w:t>④工作过程中，主动解答公众法律疑问。</w:t>
            </w:r>
          </w:p>
          <w:p w:rsidR="00E8413D" w:rsidRDefault="00E8413D">
            <w:pPr>
              <w:spacing w:line="280" w:lineRule="exact"/>
              <w:rPr>
                <w:rFonts w:ascii="仿宋_GB2312" w:hAnsi="仿宋_GB2312" w:cs="仿宋_GB2312"/>
                <w:color w:val="000000"/>
                <w:sz w:val="24"/>
                <w:szCs w:val="24"/>
              </w:rPr>
            </w:pPr>
          </w:p>
        </w:tc>
        <w:tc>
          <w:tcPr>
            <w:tcW w:w="3295" w:type="dxa"/>
            <w:noWrap/>
            <w:vAlign w:val="center"/>
          </w:tcPr>
          <w:p w:rsidR="00E8413D" w:rsidRDefault="0087241F">
            <w:pPr>
              <w:spacing w:line="300" w:lineRule="exact"/>
              <w:rPr>
                <w:rFonts w:ascii="仿宋_GB2312" w:hAnsi="仿宋_GB2312" w:cs="仿宋_GB2312"/>
                <w:color w:val="000000"/>
                <w:sz w:val="24"/>
                <w:szCs w:val="24"/>
              </w:rPr>
            </w:pPr>
            <w:r>
              <w:rPr>
                <w:rFonts w:ascii="仿宋_GB2312" w:hAnsi="仿宋_GB2312" w:cs="仿宋_GB2312" w:hint="eastAsia"/>
                <w:color w:val="000000"/>
                <w:kern w:val="0"/>
                <w:sz w:val="24"/>
                <w:szCs w:val="24"/>
              </w:rPr>
              <w:t>人力资源开发科</w:t>
            </w:r>
          </w:p>
        </w:tc>
        <w:tc>
          <w:tcPr>
            <w:tcW w:w="1418" w:type="dxa"/>
            <w:vMerge w:val="restart"/>
            <w:noWrap/>
            <w:vAlign w:val="center"/>
          </w:tcPr>
          <w:p w:rsidR="00E8413D" w:rsidRDefault="0087241F">
            <w:pPr>
              <w:spacing w:line="300" w:lineRule="exact"/>
              <w:rPr>
                <w:rFonts w:ascii="仿宋_GB2312" w:hAnsi="仿宋_GB2312" w:cs="仿宋_GB2312"/>
                <w:color w:val="000000"/>
                <w:sz w:val="24"/>
                <w:szCs w:val="24"/>
              </w:rPr>
            </w:pPr>
            <w:r>
              <w:rPr>
                <w:rFonts w:ascii="仿宋_GB2312" w:hAnsi="仿宋_GB2312" w:cs="仿宋_GB2312" w:hint="eastAsia"/>
                <w:color w:val="000000"/>
                <w:kern w:val="0"/>
                <w:sz w:val="24"/>
                <w:szCs w:val="24"/>
              </w:rPr>
              <w:t>市人社系统全体干部、服务对象、执法对象</w:t>
            </w:r>
          </w:p>
          <w:p w:rsidR="00E8413D" w:rsidRDefault="00E8413D">
            <w:pPr>
              <w:spacing w:line="300" w:lineRule="exact"/>
              <w:rPr>
                <w:rFonts w:ascii="仿宋_GB2312" w:hAnsi="仿宋_GB2312" w:cs="仿宋_GB2312"/>
                <w:color w:val="000000"/>
                <w:sz w:val="24"/>
                <w:szCs w:val="24"/>
              </w:rPr>
            </w:pPr>
          </w:p>
        </w:tc>
      </w:tr>
      <w:tr w:rsidR="00E8413D">
        <w:trPr>
          <w:trHeight w:val="1097"/>
          <w:jc w:val="center"/>
        </w:trPr>
        <w:tc>
          <w:tcPr>
            <w:tcW w:w="1101" w:type="dxa"/>
            <w:noWrap/>
            <w:vAlign w:val="center"/>
          </w:tcPr>
          <w:p w:rsidR="00E8413D" w:rsidRDefault="0087241F">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5月</w:t>
            </w:r>
          </w:p>
        </w:tc>
        <w:tc>
          <w:tcPr>
            <w:tcW w:w="5244" w:type="dxa"/>
            <w:tcBorders>
              <w:bottom w:val="single" w:sz="4" w:space="0" w:color="auto"/>
            </w:tcBorders>
            <w:noWrap/>
            <w:vAlign w:val="center"/>
          </w:tcPr>
          <w:p w:rsidR="00E8413D" w:rsidRDefault="0087241F">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《劳动保障监察条例》以及《重大劳动保障违法行为社会公布办法》《保障农民工工资支付条例》等有关法律法规</w:t>
            </w:r>
          </w:p>
        </w:tc>
        <w:tc>
          <w:tcPr>
            <w:tcW w:w="3969" w:type="dxa"/>
            <w:vMerge/>
            <w:noWrap/>
            <w:vAlign w:val="center"/>
          </w:tcPr>
          <w:p w:rsidR="00E8413D" w:rsidRDefault="00E8413D">
            <w:pPr>
              <w:spacing w:line="280" w:lineRule="exact"/>
              <w:rPr>
                <w:rFonts w:ascii="仿宋_GB2312" w:hAnsi="仿宋_GB2312" w:cs="仿宋_GB2312"/>
                <w:color w:val="000000"/>
                <w:sz w:val="24"/>
                <w:szCs w:val="24"/>
              </w:rPr>
            </w:pPr>
          </w:p>
        </w:tc>
        <w:tc>
          <w:tcPr>
            <w:tcW w:w="3295" w:type="dxa"/>
            <w:noWrap/>
            <w:vAlign w:val="center"/>
          </w:tcPr>
          <w:p w:rsidR="00E8413D" w:rsidRDefault="0087241F">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劳动关系和监察科、市劳动保障监察支队</w:t>
            </w:r>
          </w:p>
        </w:tc>
        <w:tc>
          <w:tcPr>
            <w:tcW w:w="1418" w:type="dxa"/>
            <w:vMerge/>
            <w:noWrap/>
            <w:vAlign w:val="center"/>
          </w:tcPr>
          <w:p w:rsidR="00E8413D" w:rsidRDefault="00E8413D">
            <w:pPr>
              <w:spacing w:line="300" w:lineRule="exact"/>
              <w:rPr>
                <w:rFonts w:ascii="仿宋_GB2312" w:hAnsi="仿宋_GB2312" w:cs="仿宋_GB2312"/>
                <w:color w:val="000000"/>
                <w:sz w:val="24"/>
                <w:szCs w:val="24"/>
              </w:rPr>
            </w:pPr>
          </w:p>
        </w:tc>
      </w:tr>
      <w:tr w:rsidR="00E8413D">
        <w:trPr>
          <w:trHeight w:val="815"/>
          <w:jc w:val="center"/>
        </w:trPr>
        <w:tc>
          <w:tcPr>
            <w:tcW w:w="1101" w:type="dxa"/>
            <w:noWrap/>
            <w:vAlign w:val="center"/>
          </w:tcPr>
          <w:p w:rsidR="00E8413D" w:rsidRDefault="0087241F">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6月</w:t>
            </w:r>
          </w:p>
        </w:tc>
        <w:tc>
          <w:tcPr>
            <w:tcW w:w="5244" w:type="dxa"/>
            <w:tcBorders>
              <w:bottom w:val="single" w:sz="4" w:space="0" w:color="auto"/>
            </w:tcBorders>
            <w:noWrap/>
            <w:vAlign w:val="center"/>
          </w:tcPr>
          <w:p w:rsidR="00E8413D" w:rsidRDefault="0087241F">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《中华人民共和国劳动争议调解仲裁法》以及《劳动人事争议仲裁办案规则》等有关法律法规</w:t>
            </w:r>
          </w:p>
        </w:tc>
        <w:tc>
          <w:tcPr>
            <w:tcW w:w="3969" w:type="dxa"/>
            <w:vMerge/>
            <w:noWrap/>
            <w:vAlign w:val="center"/>
          </w:tcPr>
          <w:p w:rsidR="00E8413D" w:rsidRDefault="00E8413D">
            <w:pPr>
              <w:spacing w:line="280" w:lineRule="exact"/>
              <w:rPr>
                <w:rFonts w:ascii="仿宋_GB2312" w:hAnsi="仿宋_GB2312" w:cs="仿宋_GB2312"/>
                <w:color w:val="000000"/>
                <w:sz w:val="24"/>
                <w:szCs w:val="24"/>
              </w:rPr>
            </w:pPr>
          </w:p>
        </w:tc>
        <w:tc>
          <w:tcPr>
            <w:tcW w:w="3295" w:type="dxa"/>
            <w:noWrap/>
            <w:vAlign w:val="center"/>
          </w:tcPr>
          <w:p w:rsidR="00E8413D" w:rsidRDefault="0087241F">
            <w:pPr>
              <w:spacing w:line="300" w:lineRule="exact"/>
              <w:rPr>
                <w:rFonts w:ascii="仿宋_GB2312" w:hAnsi="仿宋_GB2312" w:cs="仿宋_GB2312"/>
                <w:color w:val="000000"/>
                <w:sz w:val="24"/>
                <w:szCs w:val="24"/>
              </w:rPr>
            </w:pPr>
            <w:r>
              <w:rPr>
                <w:rFonts w:ascii="仿宋_GB2312" w:hAnsi="仿宋_GB2312" w:cs="仿宋_GB2312" w:hint="eastAsia"/>
                <w:color w:val="000000"/>
                <w:sz w:val="24"/>
                <w:szCs w:val="24"/>
              </w:rPr>
              <w:t>调解仲裁管理科、市劳动人事争议仲裁院</w:t>
            </w:r>
          </w:p>
        </w:tc>
        <w:tc>
          <w:tcPr>
            <w:tcW w:w="1418" w:type="dxa"/>
            <w:vMerge/>
            <w:noWrap/>
            <w:vAlign w:val="center"/>
          </w:tcPr>
          <w:p w:rsidR="00E8413D" w:rsidRDefault="00E8413D">
            <w:pPr>
              <w:spacing w:line="300" w:lineRule="exact"/>
              <w:rPr>
                <w:rFonts w:ascii="仿宋_GB2312" w:hAnsi="仿宋_GB2312" w:cs="仿宋_GB2312"/>
                <w:color w:val="000000"/>
                <w:sz w:val="24"/>
                <w:szCs w:val="24"/>
              </w:rPr>
            </w:pPr>
          </w:p>
        </w:tc>
      </w:tr>
      <w:tr w:rsidR="00E8413D">
        <w:trPr>
          <w:trHeight w:val="1223"/>
          <w:jc w:val="center"/>
        </w:trPr>
        <w:tc>
          <w:tcPr>
            <w:tcW w:w="1101" w:type="dxa"/>
            <w:noWrap/>
            <w:vAlign w:val="center"/>
          </w:tcPr>
          <w:p w:rsidR="00E8413D" w:rsidRDefault="0087241F">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7月</w:t>
            </w:r>
          </w:p>
        </w:tc>
        <w:tc>
          <w:tcPr>
            <w:tcW w:w="5244" w:type="dxa"/>
            <w:tcBorders>
              <w:bottom w:val="single" w:sz="4" w:space="0" w:color="auto"/>
            </w:tcBorders>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《中华人民共和国社会保险法》等有关法律法规</w:t>
            </w:r>
          </w:p>
        </w:tc>
        <w:tc>
          <w:tcPr>
            <w:tcW w:w="3969" w:type="dxa"/>
            <w:vMerge/>
            <w:noWrap/>
            <w:vAlign w:val="center"/>
          </w:tcPr>
          <w:p w:rsidR="00E8413D" w:rsidRDefault="00E8413D">
            <w:pPr>
              <w:spacing w:line="280" w:lineRule="exact"/>
              <w:rPr>
                <w:rFonts w:ascii="仿宋_GB2312" w:hAnsi="仿宋_GB2312" w:cs="仿宋_GB2312"/>
                <w:color w:val="000000"/>
                <w:sz w:val="24"/>
                <w:szCs w:val="24"/>
              </w:rPr>
            </w:pPr>
          </w:p>
        </w:tc>
        <w:tc>
          <w:tcPr>
            <w:tcW w:w="3295" w:type="dxa"/>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养老保险科、、市社会保险中心、市机关事业单位社会保险中心、市城乡居民社会养老保险中心</w:t>
            </w:r>
          </w:p>
        </w:tc>
        <w:tc>
          <w:tcPr>
            <w:tcW w:w="1418" w:type="dxa"/>
            <w:vMerge/>
            <w:noWrap/>
            <w:vAlign w:val="center"/>
          </w:tcPr>
          <w:p w:rsidR="00E8413D" w:rsidRDefault="00E8413D">
            <w:pPr>
              <w:spacing w:line="300" w:lineRule="exact"/>
              <w:rPr>
                <w:rFonts w:ascii="仿宋_GB2312" w:hAnsi="仿宋_GB2312" w:cs="仿宋_GB2312"/>
                <w:color w:val="000000"/>
                <w:sz w:val="24"/>
                <w:szCs w:val="24"/>
              </w:rPr>
            </w:pPr>
          </w:p>
        </w:tc>
      </w:tr>
      <w:tr w:rsidR="00E8413D">
        <w:trPr>
          <w:trHeight w:val="775"/>
          <w:jc w:val="center"/>
        </w:trPr>
        <w:tc>
          <w:tcPr>
            <w:tcW w:w="1101" w:type="dxa"/>
            <w:noWrap/>
            <w:vAlign w:val="center"/>
          </w:tcPr>
          <w:p w:rsidR="00E8413D" w:rsidRDefault="0087241F">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8月</w:t>
            </w:r>
          </w:p>
        </w:tc>
        <w:tc>
          <w:tcPr>
            <w:tcW w:w="5244" w:type="dxa"/>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《失业保险条例》以及《失业保险金申领发放办法》等有关法律法规</w:t>
            </w:r>
          </w:p>
        </w:tc>
        <w:tc>
          <w:tcPr>
            <w:tcW w:w="3969" w:type="dxa"/>
            <w:vMerge/>
            <w:noWrap/>
            <w:vAlign w:val="center"/>
          </w:tcPr>
          <w:p w:rsidR="00E8413D" w:rsidRDefault="00E8413D">
            <w:pPr>
              <w:spacing w:line="280" w:lineRule="exact"/>
              <w:rPr>
                <w:rFonts w:ascii="仿宋_GB2312" w:hAnsi="仿宋_GB2312" w:cs="仿宋_GB2312"/>
                <w:color w:val="000000"/>
                <w:sz w:val="24"/>
                <w:szCs w:val="24"/>
              </w:rPr>
            </w:pPr>
          </w:p>
        </w:tc>
        <w:tc>
          <w:tcPr>
            <w:tcW w:w="3295" w:type="dxa"/>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就业促进和失业保险科、市劳动就业中心</w:t>
            </w:r>
          </w:p>
        </w:tc>
        <w:tc>
          <w:tcPr>
            <w:tcW w:w="1418" w:type="dxa"/>
            <w:vMerge/>
            <w:noWrap/>
            <w:vAlign w:val="center"/>
          </w:tcPr>
          <w:p w:rsidR="00E8413D" w:rsidRDefault="00E8413D">
            <w:pPr>
              <w:spacing w:line="300" w:lineRule="exact"/>
              <w:rPr>
                <w:rFonts w:ascii="仿宋_GB2312" w:hAnsi="仿宋_GB2312" w:cs="仿宋_GB2312"/>
                <w:color w:val="000000"/>
                <w:sz w:val="24"/>
                <w:szCs w:val="24"/>
              </w:rPr>
            </w:pPr>
          </w:p>
        </w:tc>
      </w:tr>
      <w:tr w:rsidR="00E8413D">
        <w:trPr>
          <w:trHeight w:val="850"/>
          <w:jc w:val="center"/>
        </w:trPr>
        <w:tc>
          <w:tcPr>
            <w:tcW w:w="1101" w:type="dxa"/>
            <w:noWrap/>
            <w:vAlign w:val="center"/>
          </w:tcPr>
          <w:p w:rsidR="00E8413D" w:rsidRDefault="0087241F">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9月</w:t>
            </w:r>
          </w:p>
        </w:tc>
        <w:tc>
          <w:tcPr>
            <w:tcW w:w="5244" w:type="dxa"/>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《工伤保险条例》以及《</w:t>
            </w:r>
            <w:hyperlink r:id="rId10" w:tgtFrame="_blank" w:history="1">
              <w:r>
                <w:rPr>
                  <w:rFonts w:ascii="仿宋_GB2312" w:hAnsi="仿宋_GB2312" w:cs="仿宋_GB2312" w:hint="eastAsia"/>
                  <w:color w:val="000000"/>
                  <w:sz w:val="24"/>
                  <w:szCs w:val="24"/>
                </w:rPr>
                <w:t>工伤认定办法</w:t>
              </w:r>
            </w:hyperlink>
            <w:r>
              <w:rPr>
                <w:rFonts w:ascii="仿宋_GB2312" w:hAnsi="仿宋_GB2312" w:cs="仿宋_GB2312" w:hint="eastAsia"/>
                <w:color w:val="000000"/>
                <w:sz w:val="24"/>
                <w:szCs w:val="24"/>
              </w:rPr>
              <w:t>》等有关法律法规</w:t>
            </w:r>
          </w:p>
        </w:tc>
        <w:tc>
          <w:tcPr>
            <w:tcW w:w="3969" w:type="dxa"/>
            <w:vMerge/>
            <w:noWrap/>
            <w:vAlign w:val="center"/>
          </w:tcPr>
          <w:p w:rsidR="00E8413D" w:rsidRDefault="00E8413D">
            <w:pPr>
              <w:spacing w:line="280" w:lineRule="exact"/>
              <w:rPr>
                <w:rFonts w:ascii="仿宋_GB2312" w:hAnsi="仿宋_GB2312" w:cs="仿宋_GB2312"/>
                <w:color w:val="000000"/>
                <w:sz w:val="24"/>
                <w:szCs w:val="24"/>
              </w:rPr>
            </w:pPr>
          </w:p>
        </w:tc>
        <w:tc>
          <w:tcPr>
            <w:tcW w:w="3295" w:type="dxa"/>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工伤保险科、市社会保险中心</w:t>
            </w:r>
          </w:p>
        </w:tc>
        <w:tc>
          <w:tcPr>
            <w:tcW w:w="1418" w:type="dxa"/>
            <w:vMerge/>
            <w:noWrap/>
            <w:vAlign w:val="center"/>
          </w:tcPr>
          <w:p w:rsidR="00E8413D" w:rsidRDefault="00E8413D">
            <w:pPr>
              <w:spacing w:line="300" w:lineRule="exact"/>
              <w:rPr>
                <w:rFonts w:ascii="仿宋_GB2312" w:hAnsi="仿宋_GB2312" w:cs="仿宋_GB2312"/>
                <w:color w:val="000000"/>
                <w:sz w:val="24"/>
                <w:szCs w:val="24"/>
              </w:rPr>
            </w:pPr>
          </w:p>
        </w:tc>
      </w:tr>
      <w:tr w:rsidR="00E8413D">
        <w:trPr>
          <w:trHeight w:val="649"/>
          <w:jc w:val="center"/>
        </w:trPr>
        <w:tc>
          <w:tcPr>
            <w:tcW w:w="1101" w:type="dxa"/>
            <w:tcBorders>
              <w:bottom w:val="single" w:sz="4" w:space="0" w:color="auto"/>
            </w:tcBorders>
            <w:noWrap/>
            <w:vAlign w:val="center"/>
          </w:tcPr>
          <w:p w:rsidR="00E8413D" w:rsidRDefault="0087241F">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10月</w:t>
            </w:r>
          </w:p>
        </w:tc>
        <w:tc>
          <w:tcPr>
            <w:tcW w:w="5244" w:type="dxa"/>
            <w:tcBorders>
              <w:bottom w:val="single" w:sz="4" w:space="0" w:color="auto"/>
            </w:tcBorders>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《专业技术人员继续教育规定》等有关法律法规</w:t>
            </w:r>
          </w:p>
        </w:tc>
        <w:tc>
          <w:tcPr>
            <w:tcW w:w="3969" w:type="dxa"/>
            <w:vMerge/>
            <w:noWrap/>
            <w:vAlign w:val="center"/>
          </w:tcPr>
          <w:p w:rsidR="00E8413D" w:rsidRDefault="00E8413D">
            <w:pPr>
              <w:spacing w:line="280" w:lineRule="exact"/>
              <w:rPr>
                <w:rFonts w:ascii="仿宋_GB2312" w:hAnsi="仿宋_GB2312" w:cs="仿宋_GB2312"/>
                <w:color w:val="000000"/>
                <w:sz w:val="24"/>
                <w:szCs w:val="24"/>
              </w:rPr>
            </w:pPr>
          </w:p>
        </w:tc>
        <w:tc>
          <w:tcPr>
            <w:tcW w:w="3295" w:type="dxa"/>
            <w:tcBorders>
              <w:bottom w:val="single" w:sz="4" w:space="0" w:color="auto"/>
            </w:tcBorders>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职业能力建设科</w:t>
            </w:r>
          </w:p>
        </w:tc>
        <w:tc>
          <w:tcPr>
            <w:tcW w:w="1418" w:type="dxa"/>
            <w:vMerge/>
            <w:noWrap/>
            <w:vAlign w:val="center"/>
          </w:tcPr>
          <w:p w:rsidR="00E8413D" w:rsidRDefault="00E8413D">
            <w:pPr>
              <w:spacing w:line="300" w:lineRule="exact"/>
              <w:jc w:val="center"/>
              <w:rPr>
                <w:rFonts w:ascii="仿宋_GB2312" w:hAnsi="仿宋_GB2312" w:cs="仿宋_GB2312"/>
                <w:color w:val="000000"/>
                <w:sz w:val="24"/>
                <w:szCs w:val="24"/>
              </w:rPr>
            </w:pPr>
          </w:p>
        </w:tc>
      </w:tr>
      <w:tr w:rsidR="00E8413D">
        <w:trPr>
          <w:trHeight w:val="956"/>
          <w:jc w:val="center"/>
        </w:trPr>
        <w:tc>
          <w:tcPr>
            <w:tcW w:w="1101" w:type="dxa"/>
            <w:noWrap/>
            <w:vAlign w:val="center"/>
          </w:tcPr>
          <w:p w:rsidR="00E8413D" w:rsidRDefault="0087241F">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t>11月</w:t>
            </w:r>
          </w:p>
        </w:tc>
        <w:tc>
          <w:tcPr>
            <w:tcW w:w="5244" w:type="dxa"/>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《事业单位人事管理条例》以及《事业单位工作人员处分暂行规定》等有关法律法规</w:t>
            </w:r>
          </w:p>
        </w:tc>
        <w:tc>
          <w:tcPr>
            <w:tcW w:w="3969" w:type="dxa"/>
            <w:vMerge/>
            <w:tcBorders>
              <w:bottom w:val="single" w:sz="4" w:space="0" w:color="auto"/>
            </w:tcBorders>
            <w:noWrap/>
            <w:vAlign w:val="center"/>
          </w:tcPr>
          <w:p w:rsidR="00E8413D" w:rsidRDefault="00E8413D">
            <w:pPr>
              <w:spacing w:line="280" w:lineRule="exact"/>
              <w:rPr>
                <w:rFonts w:ascii="仿宋_GB2312" w:hAnsi="仿宋_GB2312" w:cs="仿宋_GB2312"/>
                <w:color w:val="000000"/>
                <w:sz w:val="24"/>
                <w:szCs w:val="24"/>
              </w:rPr>
            </w:pPr>
          </w:p>
        </w:tc>
        <w:tc>
          <w:tcPr>
            <w:tcW w:w="3295" w:type="dxa"/>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事业单位人事管理科、</w:t>
            </w:r>
            <w:r>
              <w:rPr>
                <w:rFonts w:ascii="仿宋_GB2312" w:hAnsi="仿宋_GB2312" w:cs="仿宋_GB2312" w:hint="eastAsia"/>
                <w:color w:val="000000"/>
                <w:kern w:val="0"/>
                <w:sz w:val="24"/>
                <w:szCs w:val="24"/>
              </w:rPr>
              <w:t>政府表彰和考核任免科</w:t>
            </w:r>
          </w:p>
        </w:tc>
        <w:tc>
          <w:tcPr>
            <w:tcW w:w="1418" w:type="dxa"/>
            <w:vMerge/>
            <w:noWrap/>
            <w:vAlign w:val="center"/>
          </w:tcPr>
          <w:p w:rsidR="00E8413D" w:rsidRDefault="00E8413D">
            <w:pPr>
              <w:spacing w:line="300" w:lineRule="exact"/>
              <w:jc w:val="center"/>
              <w:rPr>
                <w:rFonts w:ascii="仿宋_GB2312" w:hAnsi="仿宋_GB2312" w:cs="仿宋_GB2312"/>
                <w:color w:val="000000"/>
                <w:sz w:val="24"/>
                <w:szCs w:val="24"/>
              </w:rPr>
            </w:pPr>
          </w:p>
        </w:tc>
      </w:tr>
      <w:tr w:rsidR="00E8413D">
        <w:trPr>
          <w:trHeight w:val="2388"/>
          <w:jc w:val="center"/>
        </w:trPr>
        <w:tc>
          <w:tcPr>
            <w:tcW w:w="1101" w:type="dxa"/>
            <w:noWrap/>
            <w:vAlign w:val="center"/>
          </w:tcPr>
          <w:p w:rsidR="00E8413D" w:rsidRDefault="0087241F">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sz w:val="24"/>
                <w:szCs w:val="24"/>
              </w:rPr>
              <w:lastRenderedPageBreak/>
              <w:t>12月</w:t>
            </w:r>
          </w:p>
        </w:tc>
        <w:tc>
          <w:tcPr>
            <w:tcW w:w="5244" w:type="dxa"/>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中华人民共和国宪法》、《中华人民共和国行政许可法》《中华人民共和国行政处罚法》《中华人民共和国行政强制法》《中华人民共和国行政复议法》《中华人民共和国行政诉讼法》《中华人民共和国国家赔偿法》等法律法规</w:t>
            </w:r>
          </w:p>
        </w:tc>
        <w:tc>
          <w:tcPr>
            <w:tcW w:w="3969" w:type="dxa"/>
            <w:tcBorders>
              <w:top w:val="single" w:sz="4" w:space="0" w:color="auto"/>
            </w:tcBorders>
            <w:noWrap/>
            <w:vAlign w:val="center"/>
          </w:tcPr>
          <w:p w:rsidR="00E8413D" w:rsidRDefault="0087241F">
            <w:pPr>
              <w:spacing w:line="280" w:lineRule="exac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①利用</w:t>
            </w:r>
            <w:r>
              <w:rPr>
                <w:rFonts w:ascii="仿宋_GB2312" w:hAnsi="仿宋_GB2312" w:cs="仿宋_GB2312" w:hint="eastAsia"/>
                <w:color w:val="000000"/>
                <w:sz w:val="24"/>
                <w:szCs w:val="24"/>
              </w:rPr>
              <w:t>例会、</w:t>
            </w:r>
            <w:r>
              <w:rPr>
                <w:rFonts w:ascii="仿宋_GB2312" w:hAnsi="仿宋_GB2312" w:cs="仿宋_GB2312" w:hint="eastAsia"/>
                <w:color w:val="000000"/>
                <w:kern w:val="0"/>
                <w:sz w:val="24"/>
                <w:szCs w:val="24"/>
              </w:rPr>
              <w:t>局公开栏、官方网站、微信公众号等进行宣传;</w:t>
            </w:r>
          </w:p>
          <w:p w:rsidR="00E8413D" w:rsidRDefault="0087241F">
            <w:pPr>
              <w:spacing w:line="280" w:lineRule="exac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②发放宣传单、宣传手册等材料；</w:t>
            </w:r>
          </w:p>
          <w:p w:rsidR="00E8413D" w:rsidRDefault="0087241F">
            <w:pPr>
              <w:spacing w:line="280" w:lineRule="exact"/>
              <w:rPr>
                <w:rFonts w:ascii="仿宋_GB2312" w:hAnsi="仿宋_GB2312" w:cs="仿宋_GB2312"/>
                <w:color w:val="000000"/>
                <w:kern w:val="0"/>
                <w:sz w:val="24"/>
                <w:szCs w:val="24"/>
              </w:rPr>
            </w:pPr>
            <w:r>
              <w:rPr>
                <w:rFonts w:ascii="仿宋_GB2312" w:hAnsi="仿宋_GB2312" w:cs="仿宋_GB2312" w:hint="eastAsia"/>
                <w:color w:val="000000"/>
                <w:kern w:val="0"/>
                <w:sz w:val="24"/>
                <w:szCs w:val="24"/>
              </w:rPr>
              <w:t>③工作过程中，主动解答公众法律疑问；</w:t>
            </w:r>
          </w:p>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kern w:val="0"/>
                <w:sz w:val="24"/>
                <w:szCs w:val="24"/>
              </w:rPr>
              <w:t>④结合12·4国家宪法日开展专题宣传活动。</w:t>
            </w:r>
          </w:p>
        </w:tc>
        <w:tc>
          <w:tcPr>
            <w:tcW w:w="3295" w:type="dxa"/>
            <w:noWrap/>
            <w:vAlign w:val="center"/>
          </w:tcPr>
          <w:p w:rsidR="00E8413D" w:rsidRDefault="0087241F">
            <w:pPr>
              <w:spacing w:line="280" w:lineRule="exact"/>
              <w:rPr>
                <w:rFonts w:ascii="仿宋_GB2312" w:hAnsi="仿宋_GB2312" w:cs="仿宋_GB2312"/>
                <w:color w:val="000000"/>
                <w:sz w:val="24"/>
                <w:szCs w:val="24"/>
              </w:rPr>
            </w:pPr>
            <w:r>
              <w:rPr>
                <w:rFonts w:ascii="仿宋_GB2312" w:hAnsi="仿宋_GB2312" w:cs="仿宋_GB2312" w:hint="eastAsia"/>
                <w:color w:val="000000"/>
                <w:sz w:val="24"/>
                <w:szCs w:val="24"/>
              </w:rPr>
              <w:t>政策法规和审批科牵头，有关业务科室配合宣传</w:t>
            </w:r>
          </w:p>
        </w:tc>
        <w:tc>
          <w:tcPr>
            <w:tcW w:w="1418" w:type="dxa"/>
            <w:vMerge/>
            <w:noWrap/>
            <w:vAlign w:val="center"/>
          </w:tcPr>
          <w:p w:rsidR="00E8413D" w:rsidRDefault="00E8413D">
            <w:pPr>
              <w:spacing w:line="300" w:lineRule="exact"/>
              <w:jc w:val="center"/>
              <w:rPr>
                <w:rFonts w:ascii="仿宋_GB2312" w:hAnsi="仿宋_GB2312" w:cs="仿宋_GB2312"/>
                <w:color w:val="000000"/>
                <w:sz w:val="24"/>
                <w:szCs w:val="24"/>
              </w:rPr>
            </w:pPr>
          </w:p>
        </w:tc>
      </w:tr>
    </w:tbl>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sectPr w:rsidR="00E8413D">
          <w:pgSz w:w="16838" w:h="11906" w:orient="landscape"/>
          <w:pgMar w:top="1531" w:right="2098" w:bottom="1531" w:left="1985" w:header="851" w:footer="1588" w:gutter="0"/>
          <w:pgNumType w:fmt="numberInDash"/>
          <w:cols w:space="425"/>
          <w:docGrid w:type="linesAndChars" w:linePitch="579" w:charSpace="-849"/>
        </w:sect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pStyle w:val="Default"/>
        <w:spacing w:line="560" w:lineRule="exact"/>
        <w:jc w:val="both"/>
        <w:rPr>
          <w:rFonts w:ascii="方正小标宋简体" w:eastAsia="方正小标宋简体" w:hAnsi="方正小标宋简体" w:cs="方正小标宋简体" w:hint="default"/>
          <w:sz w:val="44"/>
          <w:szCs w:val="32"/>
        </w:rPr>
      </w:pPr>
    </w:p>
    <w:p w:rsidR="00E8413D" w:rsidRDefault="00E8413D">
      <w:pPr>
        <w:spacing w:line="540" w:lineRule="exact"/>
        <w:ind w:leftChars="100" w:left="316" w:rightChars="100" w:right="316"/>
        <w:rPr>
          <w:rFonts w:ascii="方正小标宋简体" w:eastAsia="方正小标宋简体" w:hAnsi="方正小标宋简体" w:cs="方正小标宋简体"/>
          <w:sz w:val="44"/>
          <w:szCs w:val="32"/>
        </w:rPr>
      </w:pPr>
    </w:p>
    <w:sectPr w:rsidR="00E8413D" w:rsidSect="00E8413D">
      <w:pgSz w:w="11906" w:h="16838"/>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750" w:rsidRDefault="00943750" w:rsidP="00E8413D">
      <w:r>
        <w:separator/>
      </w:r>
    </w:p>
  </w:endnote>
  <w:endnote w:type="continuationSeparator" w:id="1">
    <w:p w:rsidR="00943750" w:rsidRDefault="00943750" w:rsidP="00E841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charset w:val="86"/>
    <w:family w:val="auto"/>
    <w:pitch w:val="default"/>
    <w:sig w:usb0="00000001"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702"/>
    </w:sdtPr>
    <w:sdtContent>
      <w:p w:rsidR="00E8413D" w:rsidRDefault="008F49DB">
        <w:pPr>
          <w:pStyle w:val="a3"/>
          <w:ind w:leftChars="100" w:left="320"/>
        </w:pPr>
        <w:r>
          <w:rPr>
            <w:rFonts w:asciiTheme="minorEastAsia" w:eastAsiaTheme="minorEastAsia" w:hAnsiTheme="minorEastAsia"/>
            <w:sz w:val="28"/>
            <w:szCs w:val="28"/>
          </w:rPr>
          <w:fldChar w:fldCharType="begin"/>
        </w:r>
        <w:r w:rsidR="0087241F">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A216A1" w:rsidRPr="00A216A1">
          <w:rPr>
            <w:rFonts w:asciiTheme="minorEastAsia" w:eastAsiaTheme="minorEastAsia" w:hAnsiTheme="minorEastAsia"/>
            <w:noProof/>
            <w:sz w:val="28"/>
            <w:szCs w:val="28"/>
            <w:lang w:val="zh-CN"/>
          </w:rPr>
          <w:t>-</w:t>
        </w:r>
        <w:r w:rsidR="00A216A1">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E8413D" w:rsidRDefault="00E8413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697"/>
    </w:sdtPr>
    <w:sdtContent>
      <w:p w:rsidR="00E8413D" w:rsidRDefault="008F49DB">
        <w:pPr>
          <w:pStyle w:val="a3"/>
          <w:ind w:rightChars="100" w:right="320"/>
          <w:jc w:val="right"/>
        </w:pPr>
        <w:r>
          <w:rPr>
            <w:rFonts w:asciiTheme="minorEastAsia" w:eastAsiaTheme="minorEastAsia" w:hAnsiTheme="minorEastAsia"/>
            <w:sz w:val="28"/>
            <w:szCs w:val="28"/>
          </w:rPr>
          <w:fldChar w:fldCharType="begin"/>
        </w:r>
        <w:r w:rsidR="0087241F">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A216A1" w:rsidRPr="00A216A1">
          <w:rPr>
            <w:rFonts w:asciiTheme="minorEastAsia" w:eastAsiaTheme="minorEastAsia" w:hAnsiTheme="minorEastAsia"/>
            <w:noProof/>
            <w:sz w:val="28"/>
            <w:szCs w:val="28"/>
            <w:lang w:val="zh-CN"/>
          </w:rPr>
          <w:t>-</w:t>
        </w:r>
        <w:r w:rsidR="00A216A1">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E8413D" w:rsidRDefault="00E841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750" w:rsidRDefault="00943750" w:rsidP="00E8413D">
      <w:r>
        <w:separator/>
      </w:r>
    </w:p>
  </w:footnote>
  <w:footnote w:type="continuationSeparator" w:id="1">
    <w:p w:rsidR="00943750" w:rsidRDefault="00943750" w:rsidP="00E841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431"/>
    <w:rsid w:val="D1F7BAE8"/>
    <w:rsid w:val="EBBEB0C5"/>
    <w:rsid w:val="00070092"/>
    <w:rsid w:val="0028259A"/>
    <w:rsid w:val="004A07FB"/>
    <w:rsid w:val="00544386"/>
    <w:rsid w:val="00585AE6"/>
    <w:rsid w:val="005F172A"/>
    <w:rsid w:val="0075656E"/>
    <w:rsid w:val="007B3D9E"/>
    <w:rsid w:val="0087241F"/>
    <w:rsid w:val="00895086"/>
    <w:rsid w:val="008F49DB"/>
    <w:rsid w:val="00943750"/>
    <w:rsid w:val="00A216A1"/>
    <w:rsid w:val="00CF37C9"/>
    <w:rsid w:val="00DD5A61"/>
    <w:rsid w:val="00E42D8B"/>
    <w:rsid w:val="00E8413D"/>
    <w:rsid w:val="00EB3431"/>
    <w:rsid w:val="1BF408B5"/>
    <w:rsid w:val="7DF51B8A"/>
    <w:rsid w:val="7FDDAD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E8413D"/>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E8413D"/>
    <w:pPr>
      <w:widowControl w:val="0"/>
      <w:autoSpaceDE w:val="0"/>
      <w:autoSpaceDN w:val="0"/>
      <w:adjustRightInd w:val="0"/>
    </w:pPr>
    <w:rPr>
      <w:rFonts w:ascii="方正仿宋_GBK" w:eastAsia="方正仿宋_GBK" w:hAnsi="方正仿宋_GBK" w:cs="Times New Roman" w:hint="eastAsia"/>
      <w:color w:val="000000"/>
      <w:sz w:val="24"/>
      <w:szCs w:val="22"/>
    </w:rPr>
  </w:style>
  <w:style w:type="paragraph" w:styleId="a3">
    <w:name w:val="footer"/>
    <w:basedOn w:val="a"/>
    <w:link w:val="Char"/>
    <w:uiPriority w:val="99"/>
    <w:unhideWhenUsed/>
    <w:qFormat/>
    <w:rsid w:val="00E8413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841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8413D"/>
    <w:rPr>
      <w:sz w:val="18"/>
      <w:szCs w:val="18"/>
    </w:rPr>
  </w:style>
  <w:style w:type="character" w:customStyle="1" w:styleId="Char">
    <w:name w:val="页脚 Char"/>
    <w:basedOn w:val="a0"/>
    <w:link w:val="a3"/>
    <w:uiPriority w:val="99"/>
    <w:qFormat/>
    <w:rsid w:val="00E8413D"/>
    <w:rPr>
      <w:sz w:val="18"/>
      <w:szCs w:val="18"/>
    </w:rPr>
  </w:style>
  <w:style w:type="paragraph" w:styleId="a5">
    <w:name w:val="Balloon Text"/>
    <w:basedOn w:val="a"/>
    <w:link w:val="Char1"/>
    <w:uiPriority w:val="99"/>
    <w:semiHidden/>
    <w:unhideWhenUsed/>
    <w:rsid w:val="00544386"/>
    <w:rPr>
      <w:sz w:val="18"/>
      <w:szCs w:val="18"/>
    </w:rPr>
  </w:style>
  <w:style w:type="character" w:customStyle="1" w:styleId="Char1">
    <w:name w:val="批注框文本 Char"/>
    <w:basedOn w:val="a0"/>
    <w:link w:val="a5"/>
    <w:uiPriority w:val="99"/>
    <w:semiHidden/>
    <w:rsid w:val="0054438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hrss.gov.cn/page.do?pa=40288020246f918301247666f2701b6b&amp;guid=ff342065e7104bd0b928c0000daa19dd&amp;og=4028802023f917630123ff9b1c811dd5" TargetMode="External"/><Relationship Id="rId4" Type="http://schemas.openxmlformats.org/officeDocument/2006/relationships/webSettings" Target="webSettings.xml"/><Relationship Id="rId9" Type="http://schemas.openxmlformats.org/officeDocument/2006/relationships/hyperlink" Target="http://www.mohrss.gov.cn/page.do?pa=40288020246f918301247666f2701b6b&amp;guid=ff342065e7104bd0b928c0000daa19dd&amp;og=4028802023f917630123ff9b1c811dd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叶沁芳</dc:creator>
  <cp:lastModifiedBy>SDLCWA;864137;F;2ed8f3ab80f40f2df9ae5e92a739c6fb</cp:lastModifiedBy>
  <cp:revision>7</cp:revision>
  <cp:lastPrinted>2022-02-17T16:43:00Z</cp:lastPrinted>
  <dcterms:created xsi:type="dcterms:W3CDTF">2019-10-17T16:54:00Z</dcterms:created>
  <dcterms:modified xsi:type="dcterms:W3CDTF">2022-02-24T08:00:00Z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