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40"/>
        </w:rPr>
      </w:pPr>
      <w:r>
        <w:rPr>
          <w:rFonts w:hint="eastAsia" w:ascii="方正小标宋简体" w:hAnsi="方正小标宋简体" w:eastAsia="方正小标宋简体" w:cs="方正小标宋简体"/>
          <w:sz w:val="52"/>
          <w:szCs w:val="40"/>
        </w:rPr>
        <w:t>三明市2021年企业薪酬调查信息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简 要 说 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企业薪酬调查是以企业中不同职业从业人员工资报酬水平和不同行业企业人工成本状况为调查内容的抽样调查，以期反映本地区劳动力市场价格状况。本篇资料的内容主要包括不同职业从业人员工资价位、不同行业、岗位等级等分类方式下从业人员工资价位数据，包括不同行业、规模等分类方式下企业人工成本水平、构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明市2020年工资价位和企业人工成本信息是在2021年企业薪酬调查的基础上形成的。该调查覆盖了全市18个行业门类下90个行业大类的395户企业（剔除不符合标准的无效数据后，有效样本387户），覆盖了全市6个职业大类、52个职业中类的职工50650人（剔除不符合标准的无效数据后，有效样本50568人）。反映的是本地区参与薪酬调查的样本企业和职工的数据。工资价位和企业人工成本水平发布90%分位、75%分位、50%分位、25%分位和10%分位值，适合于不同企业的需求。其中50%分位值代表数据的中间水平，指的是有一半的样本在该指标上低于该数值，并不等于平均值。本数据仅代表调查样本统计情况，并不能直接推断总体情况，数据结果仅供参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人力资源市场工资价位是政府向社会公布的一种劳动力工资价位信息，主要反映劳动力市场职位（工种）以及行业企业部分从业人员的工资水平，供用人单位和劳动者参考使用。企业应结合我市发布的工资增长指导线和本企业实际情况，组织开展工资集体协商，合理确定企业工资水平或工资增长幅度，确保职工工资水平随企业经济效益提高得到适度增长，保持和提高企业在市场中竞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1-1分职业中类企业从业人员工资价位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autofit"/>
        <w:tblCellMar>
          <w:top w:w="0" w:type="dxa"/>
          <w:left w:w="108" w:type="dxa"/>
          <w:bottom w:w="0" w:type="dxa"/>
          <w:right w:w="108" w:type="dxa"/>
        </w:tblCellMar>
      </w:tblPr>
      <w:tblGrid>
        <w:gridCol w:w="640"/>
        <w:gridCol w:w="4036"/>
        <w:gridCol w:w="806"/>
        <w:gridCol w:w="806"/>
        <w:gridCol w:w="924"/>
        <w:gridCol w:w="924"/>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tblHeader/>
        </w:trPr>
        <w:tc>
          <w:tcPr>
            <w:tcW w:w="0" w:type="auto"/>
            <w:vMerge w:val="restart"/>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0" w:type="auto"/>
            <w:vMerge w:val="restart"/>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职业中类</w:t>
            </w:r>
          </w:p>
        </w:tc>
        <w:tc>
          <w:tcPr>
            <w:tcW w:w="0" w:type="auto"/>
            <w:gridSpan w:val="5"/>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分位值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tblHeader/>
        </w:trPr>
        <w:tc>
          <w:tcPr>
            <w:tcW w:w="0" w:type="auto"/>
            <w:vMerge w:val="continue"/>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p>
        </w:tc>
        <w:tc>
          <w:tcPr>
            <w:tcW w:w="0" w:type="auto"/>
            <w:vMerge w:val="continue"/>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p>
        </w:tc>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10%</w:t>
            </w:r>
          </w:p>
        </w:tc>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25%</w:t>
            </w:r>
          </w:p>
        </w:tc>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50%</w:t>
            </w:r>
          </w:p>
        </w:tc>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75%</w:t>
            </w:r>
          </w:p>
        </w:tc>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企事业单位负责人</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48700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73516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114001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181720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249518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工程技术人员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60016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88294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125021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155435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卫生专业技术人员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29700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39600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68962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90481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经济和金融专业人员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42640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60687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93807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127834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160735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教学人员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28380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52416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86930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104539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文学艺术、体育专业人员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38400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39600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46550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52400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新闻出版、文化专业人员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41200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45650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60600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98416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124824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其他专业技术人员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51730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69953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89598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153673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159517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办事人员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45363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60135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102273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129284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安全和消防人员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37940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54165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70214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97012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其他办事人员和有关人员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40788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47450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73794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122920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153065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批发与零售服务人员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27080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33206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44205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70675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97253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交通运输、仓储和邮政业服务人员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45632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59662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73693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住宿和餐饮服务人员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23421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32300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信息传输、软件和信息技术服务人员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57762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69319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88105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110346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金融服务人员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63983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90953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111871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136658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167167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房地产服务人员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25572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31750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48813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租赁和商务服务人员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20400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28613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47148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技术辅助服务人员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31248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44400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59631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66960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水利、环境和公共设施管理服务人员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33400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54434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电力、燃气及水供应服务人员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52846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77105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111739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127536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140905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修理及制作服务人员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26658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51184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72760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93544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文化、体育和娱乐服务人员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27904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32541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39350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73137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林业生产人员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44640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73441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畜牧业生产人员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51404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52387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54662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农、林、牧、渔业生产辅助人员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24038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32510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34440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55699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农副产品加工人员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38182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40327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59388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100702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104600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食品、饮料生产加工人员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40381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46600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50980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52398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烟草及其制品加工人员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44029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44531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52270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58806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纺织、针织、印染人员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28385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32497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40164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48775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纺织品、服装和皮革、毛皮制品加工制作人员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48960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木材加工、家具与木制品制作人员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38152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46357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54675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70402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纸及纸制品生产加工人员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63438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67537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72808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80395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石油加工和炼焦、煤化工生产人员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84394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98493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103986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109008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117151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化学原料和化学制品制造人员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45537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52512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61690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68986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医药制造人员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35394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42167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48807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60065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化学纤维制造人员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30075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32529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37190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48246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橡胶和塑料制品制造人员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60367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67298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72661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84583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非金属矿物制品制造人员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40608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46404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58248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88572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采矿人员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40600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63600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71260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金属冶炼和压延加工人员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84872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99680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110812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127971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146734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机械制造基础加工人员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44999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68982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95031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106646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金属制品制造人员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43600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48130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通用设备制造人员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51593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58328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68393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45</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汽车制造人员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62888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66992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78307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88577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计算机、通信和其他电子设备制造</w:t>
            </w:r>
          </w:p>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40332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45687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51433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53732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仪器仪表制造人员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31178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33430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40829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43904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电力、热力、气体、水生产和输配</w:t>
            </w:r>
          </w:p>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49667</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64073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91810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119868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157333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建筑施工人员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46200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61290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94229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运输设备和通用工程机械操作人员及有关人员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56800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88344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103929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114330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122231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生产辅助人员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40968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56004</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69931</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99648</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122207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6" w:hRule="atLeast"/>
        </w:trPr>
        <w:tc>
          <w:tcPr>
            <w:tcW w:w="0" w:type="auto"/>
            <w:tcBorders>
              <w:tl2br w:val="nil"/>
              <w:tr2bl w:val="nil"/>
            </w:tcBorders>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52</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其他生产制造及有关人员</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34159</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48000</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63786</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76373</w:t>
            </w:r>
          </w:p>
        </w:tc>
        <w:tc>
          <w:tcPr>
            <w:tcW w:w="0" w:type="auto"/>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93142</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1-2分行业企业从业人员工资价位（2020年）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4"/>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3"/>
        <w:gridCol w:w="903"/>
        <w:gridCol w:w="903"/>
        <w:gridCol w:w="1045"/>
        <w:gridCol w:w="105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restart"/>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2693" w:type="dxa"/>
            <w:vMerge w:val="restart"/>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行业门类</w:t>
            </w:r>
          </w:p>
        </w:tc>
        <w:tc>
          <w:tcPr>
            <w:tcW w:w="5072" w:type="dxa"/>
            <w:gridSpan w:val="5"/>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continue"/>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p>
        </w:tc>
        <w:tc>
          <w:tcPr>
            <w:tcW w:w="2693" w:type="dxa"/>
            <w:vMerge w:val="continue"/>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p>
        </w:tc>
        <w:tc>
          <w:tcPr>
            <w:tcW w:w="903"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10%</w:t>
            </w:r>
          </w:p>
        </w:tc>
        <w:tc>
          <w:tcPr>
            <w:tcW w:w="903"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25%</w:t>
            </w:r>
          </w:p>
        </w:tc>
        <w:tc>
          <w:tcPr>
            <w:tcW w:w="1045"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50%</w:t>
            </w:r>
          </w:p>
        </w:tc>
        <w:tc>
          <w:tcPr>
            <w:tcW w:w="1056"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75%</w:t>
            </w:r>
          </w:p>
        </w:tc>
        <w:tc>
          <w:tcPr>
            <w:tcW w:w="1165"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农、林、牧、渔业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30156</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39967</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58692</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74648</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86150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采矿业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37120</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47054</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60279</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73286</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制造业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44482</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57434</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78650</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105615</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电力、热力、燃气及水</w:t>
            </w:r>
          </w:p>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生产和供应业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48000</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69913</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118220</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150074</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建筑业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31600</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48484</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74800</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104141</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147928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批发和零售业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28573</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35058</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46959</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70657</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交通运输、仓储和邮政业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42559</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49228</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65593</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90531</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住宿和餐饮业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21600</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26062</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32000</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42000</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信息传输、软件和信息</w:t>
            </w:r>
          </w:p>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技术服务业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55243</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75573</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102997</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133745</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金融业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79199</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99852</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121343</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156496</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房地产业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24967</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32200</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50294</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72000</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113883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租赁和商务服务业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20400</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22800</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28380</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41232</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科学研究和技术服务业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29388</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42000</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55726</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83040</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水利环境和公共设施</w:t>
            </w:r>
          </w:p>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28900</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33460</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42499</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60876</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77683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2693" w:type="dxa"/>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居民服务、修理和其他</w:t>
            </w:r>
          </w:p>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服务业</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24000</w:t>
            </w:r>
          </w:p>
        </w:tc>
        <w:tc>
          <w:tcPr>
            <w:tcW w:w="903"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25000</w:t>
            </w:r>
          </w:p>
        </w:tc>
        <w:tc>
          <w:tcPr>
            <w:tcW w:w="104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36421</w:t>
            </w:r>
          </w:p>
        </w:tc>
        <w:tc>
          <w:tcPr>
            <w:tcW w:w="105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54000</w:t>
            </w:r>
          </w:p>
        </w:tc>
        <w:tc>
          <w:tcPr>
            <w:tcW w:w="1165"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65329</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1-3分岗位等级企业从业人员工资价位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（2020年）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074"/>
        <w:gridCol w:w="2866"/>
        <w:gridCol w:w="947"/>
        <w:gridCol w:w="948"/>
        <w:gridCol w:w="1075"/>
        <w:gridCol w:w="107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tblHeader/>
          <w:jc w:val="center"/>
        </w:trPr>
        <w:tc>
          <w:tcPr>
            <w:tcW w:w="2175" w:type="pct"/>
            <w:gridSpan w:val="2"/>
            <w:vMerge w:val="restart"/>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岗位等级</w:t>
            </w:r>
          </w:p>
        </w:tc>
        <w:tc>
          <w:tcPr>
            <w:tcW w:w="2825" w:type="pct"/>
            <w:gridSpan w:val="5"/>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tblHeader/>
          <w:jc w:val="center"/>
        </w:trPr>
        <w:tc>
          <w:tcPr>
            <w:tcW w:w="2175" w:type="pct"/>
            <w:gridSpan w:val="2"/>
            <w:vMerge w:val="continue"/>
            <w:tcBorders>
              <w:bottom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523" w:type="pct"/>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10%</w:t>
            </w:r>
          </w:p>
        </w:tc>
        <w:tc>
          <w:tcPr>
            <w:tcW w:w="523" w:type="pct"/>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25%</w:t>
            </w:r>
          </w:p>
        </w:tc>
        <w:tc>
          <w:tcPr>
            <w:tcW w:w="593" w:type="pct"/>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50%</w:t>
            </w:r>
          </w:p>
        </w:tc>
        <w:tc>
          <w:tcPr>
            <w:tcW w:w="593" w:type="pct"/>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75%</w:t>
            </w:r>
          </w:p>
        </w:tc>
        <w:tc>
          <w:tcPr>
            <w:tcW w:w="593" w:type="pct"/>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管理类</w:t>
            </w: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高层管理岗</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60000</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80745</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151015</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267270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中层管理岗</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49500</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75029</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126700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192789</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基层管理岗</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43029</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64800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109916</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175333</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227712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管理类员工岗</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37546</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50564</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81051</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108931</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技术类</w:t>
            </w: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高级职称</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96442</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121608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149293</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177889</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224791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中级职称</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79266</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108000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139070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169369</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192665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初级职称</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57525</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84158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120415</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150277</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没有取得专业技术职务</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43594</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66986</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97030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132263</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技能类</w:t>
            </w: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高级技师</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75806</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142577</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200679</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253252</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288542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技师</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78349</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126768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155548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183348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高级技能</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79926</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106126</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128938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150461</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166403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中级技能</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66603</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92938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111535</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130211</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初级技能</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43390</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56209</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90916</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124550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139027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6" w:hRule="atLeast"/>
          <w:jc w:val="center"/>
        </w:trPr>
        <w:tc>
          <w:tcPr>
            <w:tcW w:w="593" w:type="pct"/>
            <w:vMerge w:val="continue"/>
            <w:tcBorders>
              <w:righ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1582" w:type="pct"/>
            <w:tcBorders>
              <w:left w:val="single" w:color="auto" w:sz="4" w:space="0"/>
            </w:tcBorders>
            <w:shd w:val="clear" w:color="auto" w:fill="FFFFFF" w:themeFill="background1"/>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没有取得资格证书</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41713</w:t>
            </w:r>
          </w:p>
        </w:tc>
        <w:tc>
          <w:tcPr>
            <w:tcW w:w="52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60243</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80970</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102578</w:t>
            </w:r>
          </w:p>
        </w:tc>
        <w:tc>
          <w:tcPr>
            <w:tcW w:w="593" w:type="pct"/>
            <w:shd w:val="clear" w:color="auto" w:fill="FFFFFF" w:themeFill="background1"/>
            <w:noWrap w:val="0"/>
            <w:vAlign w:val="center"/>
          </w:tcPr>
          <w:p>
            <w:pPr>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113859</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2-1 企业人均人工成本水平（2020年）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4"/>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08"/>
        <w:gridCol w:w="2584"/>
        <w:gridCol w:w="1074"/>
        <w:gridCol w:w="1024"/>
        <w:gridCol w:w="1015"/>
        <w:gridCol w:w="1086"/>
        <w:gridCol w:w="680"/>
        <w:gridCol w:w="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94" w:type="dxa"/>
          <w:trHeight w:val="276" w:hRule="atLeast"/>
          <w:tblHeader/>
          <w:jc w:val="center"/>
        </w:trPr>
        <w:tc>
          <w:tcPr>
            <w:tcW w:w="708" w:type="dxa"/>
            <w:vMerge w:val="restart"/>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2584" w:type="dxa"/>
            <w:vMerge w:val="restart"/>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行业门类</w:t>
            </w:r>
          </w:p>
        </w:tc>
        <w:tc>
          <w:tcPr>
            <w:tcW w:w="4879" w:type="dxa"/>
            <w:gridSpan w:val="5"/>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tblHeader/>
          <w:jc w:val="center"/>
        </w:trPr>
        <w:tc>
          <w:tcPr>
            <w:tcW w:w="708" w:type="dxa"/>
            <w:vMerge w:val="continue"/>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vMerge w:val="continue"/>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1074"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10%</w:t>
            </w:r>
          </w:p>
        </w:tc>
        <w:tc>
          <w:tcPr>
            <w:tcW w:w="1024"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25%</w:t>
            </w:r>
          </w:p>
        </w:tc>
        <w:tc>
          <w:tcPr>
            <w:tcW w:w="1015"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50%</w:t>
            </w:r>
          </w:p>
        </w:tc>
        <w:tc>
          <w:tcPr>
            <w:tcW w:w="1086" w:type="dxa"/>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75%</w:t>
            </w:r>
          </w:p>
        </w:tc>
        <w:tc>
          <w:tcPr>
            <w:tcW w:w="1074" w:type="dxa"/>
            <w:gridSpan w:val="2"/>
            <w:shd w:val="clear" w:color="auto" w:fill="FFFFFF" w:themeFill="background1"/>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农、林、牧、渔业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34635</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47793</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58320</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73033</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采矿业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33485</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55663</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71509</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91531</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145117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制造业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48088</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62012</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81600</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100613</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电力、热力、燃气及水生产和供应业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38000</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50542</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85536</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172234</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43939</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51036</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71604</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120072</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批发和零售业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31889</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36938</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56124</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89497</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147656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交通运输、仓储和</w:t>
            </w:r>
          </w:p>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邮政业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43964</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53971</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68248</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100187</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住宿和餐饮业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34905</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37549</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38716</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46043</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信息传输、软件和信息技术服务业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29633</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44415</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69201</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99350</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金融业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154090</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167704</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191456</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231372</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房地产业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32336</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52310</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70167</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105750</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173352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租赁和商务服务业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35000</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36745</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50747</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64400</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105723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科学研究和技术服务业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33743</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46786</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61317</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79096</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水利环境和公共设施管理业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36350</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47042</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53767</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68789</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6" w:hRule="atLeast"/>
          <w:jc w:val="center"/>
        </w:trPr>
        <w:tc>
          <w:tcPr>
            <w:tcW w:w="708" w:type="dxa"/>
            <w:shd w:val="clear" w:color="auto" w:fill="FFFFFF" w:themeFill="background1"/>
            <w:noWrap w:val="0"/>
            <w:vAlign w:val="center"/>
          </w:tcPr>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rPr>
            </w:pPr>
          </w:p>
        </w:tc>
        <w:tc>
          <w:tcPr>
            <w:tcW w:w="258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居民服务、修理和其他服务业</w:t>
            </w:r>
          </w:p>
        </w:tc>
        <w:tc>
          <w:tcPr>
            <w:tcW w:w="107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23150</w:t>
            </w:r>
          </w:p>
        </w:tc>
        <w:tc>
          <w:tcPr>
            <w:tcW w:w="1024"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28744</w:t>
            </w:r>
          </w:p>
        </w:tc>
        <w:tc>
          <w:tcPr>
            <w:tcW w:w="1015"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36914</w:t>
            </w:r>
          </w:p>
        </w:tc>
        <w:tc>
          <w:tcPr>
            <w:tcW w:w="1086" w:type="dxa"/>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51271</w:t>
            </w:r>
          </w:p>
        </w:tc>
        <w:tc>
          <w:tcPr>
            <w:tcW w:w="1074" w:type="dxa"/>
            <w:gridSpan w:val="2"/>
            <w:shd w:val="clear" w:color="auto" w:fill="FFFFFF" w:themeFill="background1"/>
            <w:noWrap w:val="0"/>
            <w:vAlign w:val="center"/>
          </w:tcPr>
          <w:p>
            <w:pPr>
              <w:keepNext w:val="0"/>
              <w:keepLines w:val="0"/>
              <w:pageBreakBefore w:val="0"/>
              <w:kinsoku/>
              <w:wordWrap/>
              <w:overflowPunct/>
              <w:topLinePunct w:val="0"/>
              <w:autoSpaceDE/>
              <w:autoSpaceDN/>
              <w:bidi w:val="0"/>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78425</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rPr>
      </w:pPr>
      <w:r>
        <w:rPr>
          <w:rFonts w:hint="eastAsia" w:ascii="黑体" w:hAnsi="黑体" w:eastAsia="黑体" w:cs="黑体"/>
        </w:rPr>
        <w:t>附注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bCs/>
        </w:rPr>
      </w:pPr>
      <w:r>
        <w:rPr>
          <w:rFonts w:hint="eastAsia" w:ascii="仿宋_GB2312" w:hAnsi="仿宋_GB2312" w:eastAsia="仿宋_GB2312" w:cs="仿宋_GB2312"/>
          <w:b/>
          <w:bCs/>
        </w:rPr>
        <w:t>1.主要统计指标解释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分位值  是指将数据由低到高排序，在数列中处于相应百分比位置的数据，共分为10%分位，25%分位，50%分位，75%分位和90%分位5档。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企业从业人员  是指在本企业工作并取得劳动报酬的人员，包括与企业签订劳动合同或劳务派遣合同的在岗职工及劳务派遣人员。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工资价位  是指企业从业人员在报告期内的工资水平，包括基本工资、绩效工资、津补贴、加班加点工资和在特殊情况下支付的工资等。它在一定程度上体现了劳动力市场价格水平。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职业  指从业人员为获取主要生活来源所从事的社会工作类别。</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管理类岗位等级  指在管理岗位工作的人员在本企业岗位序列中的层级位置，包括高层管理岗、中层管理岗、基层管理岗和管理类员工岗。其中，高层管理岗是指处于企业最高领导层的岗位，包括董事长、总经理及副职等同级别的高层负责人；中层管理岗是指在企业一级部门或内设机构处于领导层的岗位，包括人力资源部门负责人、研发部门负责人等部门主要负责人及副职等同级别的中层负责人；基层管理岗是指在企业二级及以下部门或机构处于领导层的岗位，包括二级及以下部门/机构主要负责人及副职等同级别的基层负责人；管理类员工岗是指处于企业管理执行层的普通员工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技术类岗位等级  指获得国家或专业评审机构认可的专业技术职称等级，包括高级职称、中级职称、初级职称。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技能类岗位等级  指按国家职业技能标准或行业企业评价规范设置的职业技能等级，包括初级技能、中级技能、高级技能及以上。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bCs/>
        </w:rPr>
      </w:pPr>
      <w:r>
        <w:rPr>
          <w:rFonts w:hint="eastAsia" w:ascii="仿宋_GB2312" w:hAnsi="仿宋_GB2312" w:eastAsia="仿宋_GB2312" w:cs="仿宋_GB2312"/>
          <w:b/>
          <w:bCs/>
        </w:rPr>
        <w:t>2.调查方法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调查以全国为总体，采用分层 PPS 抽样方法，以地区和行业门类为层，层内样本按照与企业从业人员人数成比例的概率抽取。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bCs/>
        </w:rPr>
      </w:pPr>
      <w:r>
        <w:rPr>
          <w:rFonts w:hint="eastAsia" w:ascii="仿宋_GB2312" w:hAnsi="仿宋_GB2312" w:eastAsia="仿宋_GB2312" w:cs="仿宋_GB2312"/>
          <w:b/>
          <w:bCs/>
        </w:rPr>
        <w:t>3.行业划分标准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本调查的行业按《国民经济行业分类标准》（2017）的行业门类划分。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bCs/>
        </w:rPr>
      </w:pPr>
      <w:r>
        <w:rPr>
          <w:rFonts w:hint="eastAsia" w:ascii="仿宋_GB2312" w:hAnsi="仿宋_GB2312" w:eastAsia="仿宋_GB2312" w:cs="仿宋_GB2312"/>
          <w:b/>
          <w:bCs/>
        </w:rPr>
        <w:t>4.职业划分标准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本调查的职业按《中华人民共和国职业分类大典（2015年版）》 的职业中类划分。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ind w:left="316" w:leftChars="100" w:right="316" w:rightChars="100"/>
        <w:rPr>
          <w:rFonts w:hint="eastAsia" w:ascii="仿宋_GB2312" w:hAnsi="仿宋_GB2312" w:eastAsia="仿宋_GB2312" w:cs="仿宋_GB2312"/>
        </w:rPr>
      </w:pPr>
    </w:p>
    <w:sectPr>
      <w:footerReference r:id="rId3" w:type="default"/>
      <w:footerReference r:id="rId4" w:type="even"/>
      <w:pgSz w:w="11906" w:h="16838"/>
      <w:pgMar w:top="2098" w:right="1531" w:bottom="1985" w:left="1531" w:header="851" w:footer="1588" w:gutter="0"/>
      <w:pgBorders>
        <w:top w:val="none" w:sz="0" w:space="0"/>
        <w:left w:val="none" w:sz="0" w:space="0"/>
        <w:bottom w:val="none" w:sz="0" w:space="0"/>
        <w:right w:val="none" w:sz="0" w:space="0"/>
      </w:pgBorders>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72435"/>
    <w:multiLevelType w:val="multilevel"/>
    <w:tmpl w:val="0F072435"/>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3431"/>
    <w:rsid w:val="00070092"/>
    <w:rsid w:val="0028259A"/>
    <w:rsid w:val="004A07FB"/>
    <w:rsid w:val="00585AE6"/>
    <w:rsid w:val="005F172A"/>
    <w:rsid w:val="0075656E"/>
    <w:rsid w:val="007B3D9E"/>
    <w:rsid w:val="00895086"/>
    <w:rsid w:val="00CF37C9"/>
    <w:rsid w:val="00DD5A61"/>
    <w:rsid w:val="00E42D8B"/>
    <w:rsid w:val="00EB3431"/>
    <w:rsid w:val="13E06635"/>
    <w:rsid w:val="FD0BD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列表段落1"/>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Words>
  <Characters>314</Characters>
  <Lines>2</Lines>
  <Paragraphs>1</Paragraphs>
  <TotalTime>11</TotalTime>
  <ScaleCrop>false</ScaleCrop>
  <LinksUpToDate>false</LinksUpToDate>
  <CharactersWithSpaces>367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2019-10-16T16:54:00Z</dcterms:created>
  <dc:creator>叶沁芳</dc:creator>
  <cp:lastModifiedBy>Administrator</cp:lastModifiedBy>
  <cp:lastPrinted>2021-12-03T09:24:00Z</cp:lastPrinted>
  <dcterms:modified xsi:type="dcterms:W3CDTF">2021-12-03T08:49:40Z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C740D8E392F54596BA894A59E1FF6640</vt:lpwstr>
  </property>
</Properties>
</file>