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三明市人社系统随机抽查事项清单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tbl>
      <w:tblPr>
        <w:tblStyle w:val="4"/>
        <w:tblW w:w="13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580"/>
        <w:gridCol w:w="2640"/>
        <w:gridCol w:w="2467"/>
        <w:gridCol w:w="2310"/>
        <w:gridCol w:w="1876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2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一、市场监管执法事项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2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 w:bidi="ar"/>
              </w:rPr>
              <w:t>（一）对行政许可批设市场主体的监督检查（共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 w:bidi="ar"/>
              </w:rPr>
              <w:t xml:space="preserve"> 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抽查依据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抽查内容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实施主体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市局业务主管科室、单位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对经营性人力资源服务机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构的监督检查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《人力资源市场暂行条例》（中华人民共和国国务院令 第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  <w:t>700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号 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  <w:t>2018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日国务院第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次常务会议通过）</w:t>
            </w:r>
          </w:p>
        </w:tc>
        <w:tc>
          <w:tcPr>
            <w:tcW w:w="2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.检查对象遵守有关法律法规情况；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.检查对象严格按照许可范围及有关规范开展业务情况；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.检查对象申请批设时提交材料的准确性和真实性；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.被投诉举报事项情况核查；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.其他根据法律法规规章规定可以检查的内容。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市、县级人社部门分级负责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人力资源开发科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对民办职业资格培训、职业技能培训学校的监督检查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《民办教育促进法》</w:t>
            </w:r>
          </w:p>
        </w:tc>
        <w:tc>
          <w:tcPr>
            <w:tcW w:w="2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市、县级人社部门分级负责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职业能力建设科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5" w:hRule="atLeast"/>
        </w:trPr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对民办技工学校的监督检查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《民办教育促进法》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《技工学校教育督导评估暂行规定》</w:t>
            </w:r>
          </w:p>
        </w:tc>
        <w:tc>
          <w:tcPr>
            <w:tcW w:w="2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市人社局（受省人社厅委托办理）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职业能力建设科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抽查依据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抽查内容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实施主体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市局业务主管科室、单位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对劳务派遣单位和用工单位的监督检查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《劳动合同法》《劳动合同法实施条例》《劳务派遣暂行规定》《劳务派遣行政许可实施办法》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市、县级人社部门分级负责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劳动关系科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</w:trPr>
        <w:tc>
          <w:tcPr>
            <w:tcW w:w="132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 w:bidi="ar"/>
              </w:rPr>
              <w:t>（二）对用人单位的劳动保障监察（共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对用人单位制定内部劳动保障规章制度情况的监察</w:t>
            </w:r>
          </w:p>
        </w:tc>
        <w:tc>
          <w:tcPr>
            <w:tcW w:w="26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《劳动保障监察条例》</w:t>
            </w:r>
          </w:p>
        </w:tc>
        <w:tc>
          <w:tcPr>
            <w:tcW w:w="2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用人单位遵守相关规章制度情况</w:t>
            </w:r>
          </w:p>
        </w:tc>
        <w:tc>
          <w:tcPr>
            <w:tcW w:w="2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根据属地管理原则，由各级劳动保障监察机构负责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市劳动保障监察支队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对用人单位劳动合同及招用工的监察</w:t>
            </w:r>
          </w:p>
        </w:tc>
        <w:tc>
          <w:tcPr>
            <w:tcW w:w="2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对用人单位遵守禁止使用童工规定情况的监察</w:t>
            </w:r>
          </w:p>
        </w:tc>
        <w:tc>
          <w:tcPr>
            <w:tcW w:w="2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对用人单位遵守女职工和未成年工特殊劳动保护规定情况的监察</w:t>
            </w:r>
          </w:p>
        </w:tc>
        <w:tc>
          <w:tcPr>
            <w:tcW w:w="2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对用人单位遵守工作时间和休息休假规定情况的监察</w:t>
            </w:r>
          </w:p>
        </w:tc>
        <w:tc>
          <w:tcPr>
            <w:tcW w:w="2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对用人单位支付劳动者工资和执行最低工资标准情况的监察</w:t>
            </w:r>
          </w:p>
        </w:tc>
        <w:tc>
          <w:tcPr>
            <w:tcW w:w="2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抽查依据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抽查内容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实施主体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市局业务主管科室、单位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对用人单位参加各项社会保险和缴纳社会保险费情况的监察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对用人单位高温劳动保护的监察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《劳动保障监察条例》《防暑降温措施管理办法》</w:t>
            </w:r>
          </w:p>
        </w:tc>
        <w:tc>
          <w:tcPr>
            <w:tcW w:w="2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妨碍行政执法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《劳动保障监察条例》</w:t>
            </w:r>
          </w:p>
        </w:tc>
        <w:tc>
          <w:tcPr>
            <w:tcW w:w="2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2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二、其他行政执法事项（共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社会保险待遇领取情况稽核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《社会保险法》《社会保险稽核办法》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社会保险待遇领取情况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市、县级人社部门分级负责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市社保中心、市机关保中心、市城乡居民保中心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sectPr>
          <w:pgSz w:w="16838" w:h="11906" w:orient="landscape"/>
          <w:pgMar w:top="1531" w:right="2098" w:bottom="1531" w:left="1985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CE80956"/>
    <w:rsid w:val="7CE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2024-03-15T09:23:00Z</dcterms:created>
  <dc:creator>WPS_1644971829</dc:creator>
  <cp:lastModifiedBy>WPS_1644971829</cp:lastModifiedBy>
  <dcterms:modified xsi:type="dcterms:W3CDTF">2024-03-15T09:23:32Z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0738C9B6B57C4914837EE0B4048C023A_11</vt:lpwstr>
  </property>
</Properties>
</file>