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Theme="minorEastAsia" w:hAnsiTheme="minorEastAsia" w:eastAsiaTheme="minorEastAsia" w:cstheme="minorEastAsi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三明市职业技能竞赛计划表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586"/>
        <w:gridCol w:w="274"/>
        <w:gridCol w:w="300"/>
        <w:gridCol w:w="1035"/>
        <w:gridCol w:w="330"/>
        <w:gridCol w:w="360"/>
        <w:gridCol w:w="195"/>
        <w:gridCol w:w="578"/>
        <w:gridCol w:w="967"/>
        <w:gridCol w:w="120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竞赛名称</w:t>
            </w:r>
          </w:p>
        </w:tc>
        <w:tc>
          <w:tcPr>
            <w:tcW w:w="46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</w:rPr>
              <w:t>（   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</w:rPr>
              <w:t>级一类赛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</w:rPr>
              <w:t>（   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</w:rPr>
              <w:t>级二类赛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主办单位</w:t>
            </w:r>
          </w:p>
        </w:tc>
        <w:tc>
          <w:tcPr>
            <w:tcW w:w="73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承办单位</w:t>
            </w:r>
          </w:p>
        </w:tc>
        <w:tc>
          <w:tcPr>
            <w:tcW w:w="73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承办地点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（决赛）</w:t>
            </w:r>
          </w:p>
        </w:tc>
        <w:tc>
          <w:tcPr>
            <w:tcW w:w="73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职业（工种）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职业（工种）名称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职业编码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国家职业技能标准等级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上届举办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选拔赛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决赛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竞赛经费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筹集情况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县（市）区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数量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主、承办单位已办赛活动有关情况（含各级选拔赛、决赛人数等）</w:t>
            </w:r>
          </w:p>
        </w:tc>
        <w:tc>
          <w:tcPr>
            <w:tcW w:w="73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主、承办单位具备竞赛项目的师资、场地、设施设备有关情况（附具体说明）</w:t>
            </w:r>
          </w:p>
        </w:tc>
        <w:tc>
          <w:tcPr>
            <w:tcW w:w="73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申报单位:</w:t>
      </w:r>
      <w:r>
        <w:rPr>
          <w:rFonts w:hint="eastAsia" w:ascii="仿宋_GB2312" w:hAnsi="仿宋_GB2312" w:cs="仿宋_GB2312"/>
          <w:sz w:val="28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1"/>
        </w:rPr>
        <w:t>（盖章）  牵头主办单位:</w:t>
      </w:r>
      <w:r>
        <w:rPr>
          <w:rFonts w:hint="eastAsia" w:ascii="仿宋_GB2312" w:hAnsi="仿宋_GB2312" w:cs="仿宋_GB2312"/>
          <w:sz w:val="28"/>
          <w:szCs w:val="21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1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填报时间：</w:t>
      </w:r>
      <w:r>
        <w:rPr>
          <w:rFonts w:hint="eastAsia" w:ascii="仿宋_GB2312" w:hAnsi="仿宋_GB2312" w:cs="仿宋_GB2312"/>
          <w:sz w:val="28"/>
          <w:szCs w:val="21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1"/>
        </w:rPr>
        <w:t>年</w:t>
      </w:r>
      <w:r>
        <w:rPr>
          <w:rFonts w:hint="eastAsia" w:ascii="仿宋_GB2312" w:hAnsi="仿宋_GB2312" w:cs="仿宋_GB2312"/>
          <w:sz w:val="28"/>
          <w:szCs w:val="21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1"/>
        </w:rPr>
        <w:t>月</w:t>
      </w:r>
      <w:r>
        <w:rPr>
          <w:rFonts w:hint="eastAsia" w:ascii="仿宋_GB2312" w:hAnsi="仿宋_GB2312" w:cs="仿宋_GB2312"/>
          <w:sz w:val="28"/>
          <w:szCs w:val="21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注：</w:t>
      </w:r>
      <w:r>
        <w:rPr>
          <w:rFonts w:hint="eastAsia" w:asciiTheme="minorEastAsia" w:hAnsiTheme="minorEastAsia" w:eastAsiaTheme="minorEastAsia" w:cstheme="minorEastAsia"/>
          <w:sz w:val="28"/>
          <w:szCs w:val="21"/>
        </w:rPr>
        <w:t>1</w:t>
      </w:r>
      <w:r>
        <w:rPr>
          <w:rFonts w:hint="eastAsia" w:ascii="仿宋_GB2312" w:hAnsi="仿宋_GB2312" w:eastAsia="仿宋_GB2312" w:cs="仿宋_GB2312"/>
          <w:sz w:val="28"/>
          <w:szCs w:val="21"/>
        </w:rPr>
        <w:t>.联合举办的，牵头主办单位应征得拟联合单位的同意后填报；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1"/>
        </w:rPr>
      </w:pPr>
      <w:r>
        <w:rPr>
          <w:rFonts w:hint="eastAsia" w:asciiTheme="minorEastAsia" w:hAnsiTheme="minorEastAsia" w:eastAsiaTheme="minorEastAsia" w:cstheme="minorEastAsia"/>
          <w:sz w:val="28"/>
          <w:szCs w:val="21"/>
          <w:lang w:val="en-US" w:eastAsia="zh-CN"/>
        </w:rPr>
        <w:t>2</w:t>
      </w:r>
      <w:r>
        <w:rPr>
          <w:rFonts w:hint="eastAsia" w:ascii="仿宋_GB2312" w:hAnsi="仿宋_GB2312" w:cs="仿宋_GB2312"/>
          <w:sz w:val="28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1"/>
        </w:rPr>
        <w:t>初次申报竞赛项目的，应提供拟申报竞赛职业工种的背景情况；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1"/>
        </w:rPr>
      </w:pPr>
      <w:r>
        <w:rPr>
          <w:rFonts w:hint="eastAsia" w:asciiTheme="minorEastAsia" w:hAnsiTheme="minorEastAsia" w:eastAsiaTheme="minorEastAsia" w:cstheme="minorEastAsia"/>
          <w:sz w:val="28"/>
          <w:szCs w:val="21"/>
        </w:rPr>
        <w:t>3</w:t>
      </w:r>
      <w:r>
        <w:rPr>
          <w:rFonts w:hint="eastAsia" w:ascii="仿宋_GB2312" w:hAnsi="仿宋_GB2312" w:eastAsia="仿宋_GB2312" w:cs="仿宋_GB2312"/>
          <w:sz w:val="28"/>
          <w:szCs w:val="21"/>
        </w:rPr>
        <w:t>.竞赛经费筹集情况应填报是否申请省级竞赛项目经费补助或自筹经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jc w:val="both"/>
        <w:textAlignment w:val="auto"/>
        <w:rPr>
          <w:rFonts w:hint="eastAsia" w:ascii="仿宋_GB2312" w:hAnsi="仿宋_GB2312" w:cs="仿宋_GB2312"/>
          <w:sz w:val="28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费情况</w:t>
      </w:r>
      <w:r>
        <w:rPr>
          <w:rFonts w:hint="eastAsia" w:ascii="仿宋_GB2312" w:hAnsi="仿宋_GB2312" w:cs="仿宋_GB2312"/>
          <w:sz w:val="28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28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28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28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28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28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28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28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28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28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28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22"/>
          <w:lang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22"/>
          <w:lang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  <w:lang w:eastAsia="zh-CN"/>
        </w:rPr>
        <w:t>竞赛工作组织实施方案（参考内容）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22"/>
          <w:lang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一、竞赛目的和意义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22"/>
          <w:lang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二、组织机构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明确主办单位、承办单位，成立竞赛组委会及组委会内设机构，组委会内设机构一般为办公室、监督仲裁工作组和技术工作组等。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22"/>
          <w:lang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三、竞赛内容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明确内容：一是竞赛职业工种、二是竞赛标准、三是竞赛命题（命题方式、理论和实际操作）、四是考核模块。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22"/>
          <w:lang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四、竞赛实施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明确竞赛实施中涉及的关键内容，如时间、地点、赛制、参赛名额和报名程序等。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22"/>
          <w:lang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五、竞赛奖励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拟定竞赛项目的竞赛奖励措施。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22"/>
          <w:lang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六、工作要求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一般从组织领导、技术规则、新闻宣传、安全防疫等方面明确工作要求。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22"/>
          <w:lang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七、竞赛经费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拟定竞赛项目的经费筹集、预算方案等。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22"/>
          <w:lang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22"/>
          <w:lang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40"/>
          <w:lang w:eastAsia="zh-CN"/>
        </w:rPr>
        <w:t>***技术工作文件（样式）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黑体" w:hAnsi="黑体" w:eastAsia="黑体" w:cs="黑体"/>
          <w:sz w:val="32"/>
          <w:szCs w:val="22"/>
          <w:lang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（***项目）技术工作组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黑体" w:hAnsi="黑体" w:eastAsia="黑体" w:cs="黑体"/>
          <w:sz w:val="32"/>
          <w:szCs w:val="2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时间：</w:t>
      </w:r>
      <w:r>
        <w:rPr>
          <w:rFonts w:hint="eastAsia" w:ascii="黑体" w:hAnsi="黑体" w:eastAsia="黑体" w:cs="黑体"/>
          <w:sz w:val="32"/>
          <w:szCs w:val="2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黑体" w:hAnsi="黑体" w:eastAsia="黑体" w:cs="黑体"/>
          <w:sz w:val="32"/>
          <w:szCs w:val="22"/>
          <w:lang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签名：</w:t>
      </w:r>
      <w:r>
        <w:rPr>
          <w:rFonts w:hint="eastAsia" w:ascii="黑体" w:hAnsi="黑体" w:eastAsia="黑体" w:cs="黑体"/>
          <w:sz w:val="32"/>
          <w:szCs w:val="2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一、技术描述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（一）项目概要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（二）基本知识与能力要求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二、试题与评判标准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（一）试题（样题）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default" w:ascii="仿宋_GB2312" w:hAnsi="仿宋_GB2312" w:cs="仿宋_GB2312"/>
          <w:sz w:val="3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2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.模块基本内容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2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.本项目竞赛题的命题方式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（二）竞赛时间及试题具体内容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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sz w:val="32"/>
          <w:szCs w:val="2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.竞赛时间安排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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sz w:val="32"/>
          <w:szCs w:val="2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.试题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（三）评判标准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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sz w:val="32"/>
          <w:szCs w:val="2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.分数权重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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sz w:val="32"/>
          <w:szCs w:val="2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.评判方法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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sz w:val="32"/>
          <w:szCs w:val="2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.成绩并列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三、竞赛细则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（一）裁判员工作内容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（二）选手的工作内容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（三）竞赛具体流程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（四）工具箱检查规定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四、竞赛场地、设施设备等安排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（一）赛场规格要求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..................................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（二）场地布局图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（三）基础设施清单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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sz w:val="32"/>
          <w:szCs w:val="2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.场地基本设备工具清单表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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sz w:val="32"/>
          <w:szCs w:val="2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.基本材料清单表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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sz w:val="32"/>
          <w:szCs w:val="2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.赛场选手自备的工具清单表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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sz w:val="32"/>
          <w:szCs w:val="2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.赛场禁止自带使用的设备和材料清单表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五、安全、健康要求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（一）参赛选手必须按照规定穿戴防护装备清单表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（二）选手禁止携带易燃易爆物品清单表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（三）赛场通道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（四）赛场医药配备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（五）环境保护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（六）提倡绿色制造的理念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2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竞赛工作联络员回执表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填表单位：</w:t>
      </w:r>
      <w:r>
        <w:rPr>
          <w:rFonts w:hint="eastAsia" w:ascii="仿宋_GB2312" w:hAnsi="仿宋_GB2312" w:cs="仿宋_GB2312"/>
          <w:sz w:val="32"/>
          <w:szCs w:val="2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（盖章）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807"/>
        <w:gridCol w:w="2262"/>
        <w:gridCol w:w="192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</w:rPr>
              <w:t>单位/职务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固话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</w:rPr>
              <w:t>/手机）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left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06D34A6"/>
    <w:rsid w:val="406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2023-12-13T08:28:00Z</dcterms:created>
  <dc:creator>WPS_1644971829</dc:creator>
  <cp:lastModifiedBy>WPS_1644971829</cp:lastModifiedBy>
  <dcterms:modified xsi:type="dcterms:W3CDTF">2023-12-13T08:28:17Z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AFC19B47A2DD4D55BCA26E48883F3881_11</vt:lpwstr>
  </property>
</Properties>
</file>