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eastAsia="zh-CN"/>
        </w:rPr>
      </w:pPr>
      <w:r>
        <w:rPr>
          <w:rFonts w:hint="eastAsia" w:ascii="黑体" w:hAnsi="黑体" w:eastAsia="黑体" w:cs="黑体"/>
          <w:lang w:eastAsia="zh-CN"/>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三明市人力资源和社会保障局不予行政处罚事项清单</w:t>
      </w:r>
    </w:p>
    <w:p>
      <w:pPr>
        <w:pStyle w:val="2"/>
        <w:rPr>
          <w:rFonts w:hint="eastAsia"/>
          <w:lang w:eastAsia="zh-CN"/>
        </w:rPr>
      </w:pPr>
    </w:p>
    <w:tbl>
      <w:tblPr>
        <w:tblStyle w:val="5"/>
        <w:tblW w:w="14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797"/>
        <w:gridCol w:w="5688"/>
        <w:gridCol w:w="385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blHeader/>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处罚事项名称</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不予</w:t>
            </w:r>
            <w:r>
              <w:rPr>
                <w:rFonts w:hint="eastAsia" w:ascii="仿宋_GB2312" w:hAnsi="仿宋_GB2312" w:eastAsia="仿宋_GB2312" w:cs="仿宋_GB2312"/>
                <w:b/>
                <w:bCs/>
                <w:sz w:val="24"/>
                <w:szCs w:val="24"/>
              </w:rPr>
              <w:t>处罚的情形</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不予</w:t>
            </w:r>
            <w:r>
              <w:rPr>
                <w:rFonts w:hint="eastAsia" w:ascii="仿宋_GB2312" w:hAnsi="仿宋_GB2312" w:eastAsia="仿宋_GB2312" w:cs="仿宋_GB2312"/>
                <w:b/>
                <w:bCs/>
                <w:sz w:val="24"/>
                <w:szCs w:val="24"/>
              </w:rPr>
              <w:t>处罚的依据</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配套监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人力资源服务机构举办现场招聘会，未核实参加招聘会的招聘单位及其招聘简章的真实性、合法性，或未对招聘中的各项活动进行管理</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人力资源服务机构未建立健全信息发布审查和投诉处理机制，发布的人力资源供求信息不真实、不合法、无效</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经营性人力资源服务机构开展人力资源服务业务未备案</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经营性人力资源服务机构（含从事网络招聘服务的经营性人力资源服务机构）设立分支机构、办理变更或者注销登记未书面报告</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经营性人力资源服务机构未按规定在服务场所明示有关事项</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从事网络招聘服务的经营性人力资源服务机构</w:t>
            </w:r>
            <w:r>
              <w:rPr>
                <w:rFonts w:hint="eastAsia" w:ascii="仿宋_GB2312" w:hAnsi="仿宋_GB2312" w:eastAsia="仿宋_GB2312" w:cs="仿宋_GB2312"/>
                <w:sz w:val="24"/>
                <w:szCs w:val="24"/>
                <w:lang w:eastAsia="zh-CN"/>
              </w:rPr>
              <w:t>未</w:t>
            </w:r>
            <w:r>
              <w:rPr>
                <w:rFonts w:hint="eastAsia" w:ascii="仿宋_GB2312" w:hAnsi="仿宋_GB2312" w:eastAsia="仿宋_GB2312" w:cs="仿宋_GB2312"/>
                <w:sz w:val="24"/>
                <w:szCs w:val="24"/>
              </w:rPr>
              <w:t>在其网站、移动互联网应用程序等首页显著位置，持续公示营业执照、人力资源服务许可证等信息，或者上述信息的链接标识</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从事网络招聘服务的经营性人力资源服务机构</w:t>
            </w:r>
            <w:r>
              <w:rPr>
                <w:rFonts w:hint="eastAsia" w:ascii="仿宋_GB2312" w:hAnsi="仿宋_GB2312" w:eastAsia="仿宋_GB2312" w:cs="仿宋_GB2312"/>
                <w:sz w:val="24"/>
                <w:szCs w:val="24"/>
                <w:lang w:eastAsia="zh-CN"/>
              </w:rPr>
              <w:t>未</w:t>
            </w:r>
            <w:r>
              <w:rPr>
                <w:rFonts w:hint="eastAsia" w:ascii="仿宋_GB2312" w:hAnsi="仿宋_GB2312" w:eastAsia="仿宋_GB2312" w:cs="仿宋_GB2312"/>
                <w:sz w:val="24"/>
                <w:szCs w:val="24"/>
              </w:rPr>
              <w:t>及时更新公示信息</w:t>
            </w:r>
            <w:r>
              <w:rPr>
                <w:rFonts w:hint="eastAsia" w:ascii="仿宋_GB2312" w:hAnsi="仿宋_GB2312" w:eastAsia="仿宋_GB2312" w:cs="仿宋_GB2312"/>
                <w:sz w:val="24"/>
                <w:szCs w:val="24"/>
                <w:lang w:eastAsia="zh-CN"/>
              </w:rPr>
              <w:t>，或未</w:t>
            </w:r>
            <w:r>
              <w:rPr>
                <w:rFonts w:hint="eastAsia" w:ascii="仿宋_GB2312" w:hAnsi="仿宋_GB2312" w:eastAsia="仿宋_GB2312" w:cs="仿宋_GB2312"/>
                <w:sz w:val="24"/>
                <w:szCs w:val="24"/>
              </w:rPr>
              <w:t>提前30日在首页显著位置持续公示终止从事网络招聘服务</w:t>
            </w:r>
            <w:r>
              <w:rPr>
                <w:rFonts w:hint="eastAsia" w:ascii="仿宋_GB2312" w:hAnsi="仿宋_GB2312" w:eastAsia="仿宋_GB2312" w:cs="仿宋_GB2312"/>
                <w:sz w:val="24"/>
                <w:szCs w:val="24"/>
                <w:lang w:eastAsia="zh-CN"/>
              </w:rPr>
              <w:t>的有关信息</w:t>
            </w:r>
            <w:r>
              <w:rPr>
                <w:rFonts w:hint="eastAsia" w:ascii="仿宋_GB2312" w:hAnsi="仿宋_GB2312" w:eastAsia="仿宋_GB2312" w:cs="仿宋_GB2312"/>
                <w:sz w:val="24"/>
                <w:szCs w:val="24"/>
                <w:lang w:val="en-US" w:eastAsia="zh-CN"/>
              </w:rPr>
              <w:t>较轻违法行为，责令改正</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从事网络招聘服务的经营性人力资源服务机构</w:t>
            </w:r>
            <w:r>
              <w:rPr>
                <w:rFonts w:hint="eastAsia" w:ascii="仿宋_GB2312" w:hAnsi="仿宋_GB2312" w:eastAsia="仿宋_GB2312" w:cs="仿宋_GB2312"/>
                <w:sz w:val="24"/>
                <w:szCs w:val="24"/>
                <w:lang w:eastAsia="zh-CN"/>
              </w:rPr>
              <w:t>未</w:t>
            </w:r>
            <w:r>
              <w:rPr>
                <w:rFonts w:hint="eastAsia" w:ascii="仿宋_GB2312" w:hAnsi="仿宋_GB2312" w:eastAsia="仿宋_GB2312" w:cs="仿宋_GB2312"/>
                <w:sz w:val="24"/>
                <w:szCs w:val="24"/>
              </w:rPr>
              <w:t>明示其服务项目、收费标准等事项</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经营性人力资源服务机构未按规定建立健全内部制度或保存服务台账</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7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经营性人力资源服务机构（含从事网络招聘服务的人力资源服务机构）未按规定提交经营情况年度报告</w:t>
            </w:r>
          </w:p>
        </w:tc>
        <w:tc>
          <w:tcPr>
            <w:tcW w:w="56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没有违法所得，违法行为轻微并及时改正，没有造成危害后果的；当事人有证据足以证明没有主观过错的；除法律另有规定外，违法行为在二年内未被发现的;法律、法规、规章规定其他不予行政处罚的。</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《中华人民共和国行政处罚法》《福建省</w:t>
            </w:r>
            <w:r>
              <w:rPr>
                <w:rFonts w:hint="eastAsia" w:ascii="仿宋_GB2312" w:hAnsi="仿宋_GB2312" w:eastAsia="仿宋_GB2312" w:cs="仿宋_GB2312"/>
                <w:sz w:val="24"/>
                <w:szCs w:val="24"/>
                <w:lang w:eastAsia="zh-CN"/>
              </w:rPr>
              <w:t>人力资源社会保障</w:t>
            </w:r>
            <w:r>
              <w:rPr>
                <w:rFonts w:hint="eastAsia" w:ascii="仿宋_GB2312" w:hAnsi="仿宋_GB2312" w:eastAsia="仿宋_GB2312" w:cs="仿宋_GB2312"/>
                <w:sz w:val="24"/>
                <w:szCs w:val="24"/>
              </w:rPr>
              <w:t>行政处罚裁量基准（</w:t>
            </w:r>
            <w:r>
              <w:rPr>
                <w:rFonts w:hint="eastAsia" w:ascii="仿宋_GB2312" w:hAnsi="仿宋_GB2312" w:eastAsia="仿宋_GB2312" w:cs="仿宋_GB2312"/>
                <w:sz w:val="24"/>
                <w:szCs w:val="24"/>
                <w:lang w:val="en-US" w:eastAsia="zh-CN"/>
              </w:rPr>
              <w:t>2021版</w:t>
            </w:r>
            <w:r>
              <w:rPr>
                <w:rFonts w:hint="eastAsia" w:ascii="仿宋_GB2312" w:hAnsi="仿宋_GB2312" w:eastAsia="仿宋_GB2312" w:cs="仿宋_GB2312"/>
                <w:sz w:val="24"/>
                <w:szCs w:val="24"/>
              </w:rPr>
              <w:t>）》</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行政告诫</w:t>
            </w:r>
            <w:r>
              <w:rPr>
                <w:rFonts w:hint="eastAsia" w:ascii="仿宋_GB2312" w:hAnsi="仿宋_GB2312" w:eastAsia="仿宋_GB2312" w:cs="仿宋_GB2312"/>
                <w:sz w:val="24"/>
                <w:szCs w:val="24"/>
              </w:rPr>
              <w:t>；执法后督察</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lang w:eastAsia="zh-CN"/>
        </w:rPr>
      </w:pPr>
      <w:r>
        <w:rPr>
          <w:rFonts w:hint="eastAsia" w:ascii="黑体" w:hAnsi="黑体" w:eastAsia="黑体" w:cs="黑体"/>
          <w:sz w:val="32"/>
          <w:szCs w:val="22"/>
          <w:lang w:eastAsia="zh-CN"/>
        </w:rPr>
        <w:t>附件2</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三明市人力资源和社会保障局从轻行政处罚事项清单</w:t>
      </w:r>
    </w:p>
    <w:p>
      <w:pPr>
        <w:pStyle w:val="2"/>
        <w:rPr>
          <w:rFonts w:hint="eastAsia"/>
          <w:lang w:eastAsia="zh-CN"/>
        </w:rPr>
      </w:pPr>
    </w:p>
    <w:tbl>
      <w:tblPr>
        <w:tblStyle w:val="5"/>
        <w:tblW w:w="14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3875"/>
        <w:gridCol w:w="4469"/>
        <w:gridCol w:w="3765"/>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blHeader/>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处罚事项名称</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从轻处罚的情形</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从轻处罚的依据</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281" w:hanging="236" w:hangingChars="100"/>
              <w:jc w:val="center"/>
              <w:textAlignment w:val="top"/>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配套监</w:t>
            </w:r>
          </w:p>
          <w:p>
            <w:pPr>
              <w:keepNext w:val="0"/>
              <w:keepLines w:val="0"/>
              <w:pageBreakBefore w:val="0"/>
              <w:widowControl/>
              <w:kinsoku/>
              <w:wordWrap/>
              <w:overflowPunct/>
              <w:topLinePunct w:val="0"/>
              <w:autoSpaceDE/>
              <w:autoSpaceDN/>
              <w:bidi w:val="0"/>
              <w:adjustRightInd/>
              <w:snapToGrid/>
              <w:spacing w:line="300" w:lineRule="exact"/>
              <w:ind w:left="281" w:hanging="236" w:hangingChars="100"/>
              <w:jc w:val="center"/>
              <w:textAlignment w:val="top"/>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vertAlign w:val="baseline"/>
                <w:lang w:val="en-US" w:eastAsia="zh-CN"/>
              </w:rPr>
              <w:t>人力资源服务机构举办现场招聘会，未核实参加招聘会的招聘单位及其招聘简章的真实性、合法性，或未对招聘中的各项活动进行管理</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vertAlign w:val="baseline"/>
                <w:lang w:val="en-US" w:eastAsia="zh-CN"/>
              </w:rPr>
              <w:t>人力资源服务机构未建立健全信息发布审查和投诉处理机制，发布的人力资源供求信息不真实、不合法、无效</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vertAlign w:val="baseline"/>
                <w:lang w:val="en-US" w:eastAsia="zh-CN"/>
              </w:rPr>
              <w:t>经营性人力资源服务机构接受用人单位委托提供人力资源外包服务的，改变用人单位与个人的劳动关系，或与用人单位串通侵害个人的合法权益</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vertAlign w:val="baseline"/>
                <w:lang w:val="en-US" w:eastAsia="zh-CN"/>
              </w:rPr>
              <w:t>经营性人力资源服务机构开展人力资源服务业务未备案</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vertAlign w:val="baseline"/>
                <w:lang w:val="en-US" w:eastAsia="zh-CN"/>
              </w:rPr>
              <w:t>经营性人力资源服务机构（含从事网络招聘服务的经营性人力资源服务机构）设立分支机构、办理变更或者注销登记未书面报告</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6</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vertAlign w:val="baseline"/>
                <w:lang w:val="en-US" w:eastAsia="zh-CN"/>
              </w:rPr>
              <w:t>经营性人力资源服务机构未按规定在服务场所明示有关事项</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rPr>
              <w:t>从事网络招聘服务的经营性人力资源服务机构</w:t>
            </w:r>
            <w:r>
              <w:rPr>
                <w:rFonts w:hint="eastAsia" w:ascii="仿宋_GB2312" w:hAnsi="仿宋_GB2312" w:eastAsia="仿宋_GB2312" w:cs="仿宋_GB2312"/>
                <w:sz w:val="24"/>
                <w:szCs w:val="24"/>
                <w:lang w:eastAsia="zh-CN"/>
              </w:rPr>
              <w:t>未</w:t>
            </w:r>
            <w:r>
              <w:rPr>
                <w:rFonts w:hint="eastAsia" w:ascii="仿宋_GB2312" w:hAnsi="仿宋_GB2312" w:eastAsia="仿宋_GB2312" w:cs="仿宋_GB2312"/>
                <w:sz w:val="24"/>
                <w:szCs w:val="24"/>
              </w:rPr>
              <w:t>在其网站、移动互联网应用程序等首页显著位置，持续公示营业执照、人力资源服务许可证等信息，或者上述信息的链接标识</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8</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rPr>
              <w:t>从事网络招聘服务的经营性人力资源服务机构</w:t>
            </w:r>
            <w:r>
              <w:rPr>
                <w:rFonts w:hint="eastAsia" w:ascii="仿宋_GB2312" w:hAnsi="仿宋_GB2312" w:eastAsia="仿宋_GB2312" w:cs="仿宋_GB2312"/>
                <w:sz w:val="24"/>
                <w:szCs w:val="24"/>
                <w:lang w:eastAsia="zh-CN"/>
              </w:rPr>
              <w:t>未</w:t>
            </w:r>
            <w:r>
              <w:rPr>
                <w:rFonts w:hint="eastAsia" w:ascii="仿宋_GB2312" w:hAnsi="仿宋_GB2312" w:eastAsia="仿宋_GB2312" w:cs="仿宋_GB2312"/>
                <w:sz w:val="24"/>
                <w:szCs w:val="24"/>
              </w:rPr>
              <w:t>及时更新公示信息</w:t>
            </w:r>
            <w:r>
              <w:rPr>
                <w:rFonts w:hint="eastAsia" w:ascii="仿宋_GB2312" w:hAnsi="仿宋_GB2312" w:eastAsia="仿宋_GB2312" w:cs="仿宋_GB2312"/>
                <w:sz w:val="24"/>
                <w:szCs w:val="24"/>
                <w:lang w:eastAsia="zh-CN"/>
              </w:rPr>
              <w:t>，或未</w:t>
            </w:r>
            <w:r>
              <w:rPr>
                <w:rFonts w:hint="eastAsia" w:ascii="仿宋_GB2312" w:hAnsi="仿宋_GB2312" w:eastAsia="仿宋_GB2312" w:cs="仿宋_GB2312"/>
                <w:sz w:val="24"/>
                <w:szCs w:val="24"/>
              </w:rPr>
              <w:t>提前30日在首页显著位置持续公示终止从事网络招聘服务</w:t>
            </w:r>
            <w:r>
              <w:rPr>
                <w:rFonts w:hint="eastAsia" w:ascii="仿宋_GB2312" w:hAnsi="仿宋_GB2312" w:eastAsia="仿宋_GB2312" w:cs="仿宋_GB2312"/>
                <w:sz w:val="24"/>
                <w:szCs w:val="24"/>
                <w:lang w:eastAsia="zh-CN"/>
              </w:rPr>
              <w:t>的有关信息</w:t>
            </w:r>
            <w:r>
              <w:rPr>
                <w:rFonts w:hint="eastAsia" w:ascii="仿宋_GB2312" w:hAnsi="仿宋_GB2312" w:eastAsia="仿宋_GB2312" w:cs="仿宋_GB2312"/>
                <w:sz w:val="24"/>
                <w:szCs w:val="24"/>
                <w:vertAlign w:val="baseline"/>
                <w:lang w:val="en-US" w:eastAsia="zh-CN"/>
              </w:rPr>
              <w:t>较轻违法行为，责令改正</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9</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rPr>
              <w:t>从事网络招聘服务的经营性人力资源服务机构</w:t>
            </w:r>
            <w:r>
              <w:rPr>
                <w:rFonts w:hint="eastAsia" w:ascii="仿宋_GB2312" w:hAnsi="仿宋_GB2312" w:eastAsia="仿宋_GB2312" w:cs="仿宋_GB2312"/>
                <w:sz w:val="24"/>
                <w:szCs w:val="24"/>
                <w:lang w:eastAsia="zh-CN"/>
              </w:rPr>
              <w:t>未</w:t>
            </w:r>
            <w:r>
              <w:rPr>
                <w:rFonts w:hint="eastAsia" w:ascii="仿宋_GB2312" w:hAnsi="仿宋_GB2312" w:eastAsia="仿宋_GB2312" w:cs="仿宋_GB2312"/>
                <w:sz w:val="24"/>
                <w:szCs w:val="24"/>
              </w:rPr>
              <w:t>明示其服务项目、收费标准等事项</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10</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vertAlign w:val="baseline"/>
                <w:lang w:val="en-US" w:eastAsia="zh-CN"/>
              </w:rPr>
              <w:t>经营性人力资源服务机构未按规定建立健全内部制度或保存服务台账</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54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11</w:t>
            </w:r>
          </w:p>
        </w:tc>
        <w:tc>
          <w:tcPr>
            <w:tcW w:w="38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vertAlign w:val="baseline"/>
                <w:lang w:val="en-US" w:eastAsia="zh-CN"/>
              </w:rPr>
              <w:t>经营性人力资源服务机构（含从事网络招聘服务的人力资源服务机构）未按规定提交经营情况年度报告</w:t>
            </w:r>
          </w:p>
        </w:tc>
        <w:tc>
          <w:tcPr>
            <w:tcW w:w="44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积极配合人社部门调查，如实陈述违法事实并主动提供证据材料的；违法行为涉及的人数较少或者未造成严重后果的；违法行为轻微，社会危害性较小；受他人胁迫、教唆、诱骗实施违法行为的；法律、法规、规章规定其他可以从轻处罚的。</w:t>
            </w:r>
          </w:p>
        </w:tc>
        <w:tc>
          <w:tcPr>
            <w:tcW w:w="3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《中华人民共和国行政处罚法》《福建省</w:t>
            </w:r>
            <w:r>
              <w:rPr>
                <w:rFonts w:hint="eastAsia" w:ascii="仿宋_GB2312" w:hAnsi="仿宋_GB2312" w:eastAsia="仿宋_GB2312" w:cs="仿宋_GB2312"/>
                <w:color w:val="000000"/>
                <w:kern w:val="0"/>
                <w:sz w:val="24"/>
                <w:szCs w:val="24"/>
                <w:lang w:eastAsia="zh-CN"/>
              </w:rPr>
              <w:t>人力资源社会保障</w:t>
            </w:r>
            <w:r>
              <w:rPr>
                <w:rFonts w:hint="eastAsia" w:ascii="仿宋_GB2312" w:hAnsi="仿宋_GB2312" w:eastAsia="仿宋_GB2312" w:cs="仿宋_GB2312"/>
                <w:color w:val="000000"/>
                <w:kern w:val="0"/>
                <w:sz w:val="24"/>
                <w:szCs w:val="24"/>
              </w:rPr>
              <w:t>行政处罚裁量基准（</w:t>
            </w:r>
            <w:r>
              <w:rPr>
                <w:rFonts w:hint="eastAsia" w:ascii="仿宋_GB2312" w:hAnsi="仿宋_GB2312" w:eastAsia="仿宋_GB2312" w:cs="仿宋_GB2312"/>
                <w:color w:val="000000"/>
                <w:kern w:val="0"/>
                <w:sz w:val="24"/>
                <w:szCs w:val="24"/>
                <w:lang w:val="en-US" w:eastAsia="zh-CN"/>
              </w:rPr>
              <w:t>2021版</w:t>
            </w:r>
            <w:r>
              <w:rPr>
                <w:rFonts w:hint="eastAsia" w:ascii="仿宋_GB2312" w:hAnsi="仿宋_GB2312" w:eastAsia="仿宋_GB2312" w:cs="仿宋_GB2312"/>
                <w:color w:val="000000"/>
                <w:kern w:val="0"/>
                <w:sz w:val="24"/>
                <w:szCs w:val="24"/>
              </w:rPr>
              <w:t>）》</w:t>
            </w:r>
          </w:p>
        </w:tc>
        <w:tc>
          <w:tcPr>
            <w:tcW w:w="1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eastAsia="zh-CN"/>
              </w:rPr>
              <w:t>下达责令改正违法行为决定书；执法后督察</w:t>
            </w:r>
          </w:p>
        </w:tc>
      </w:tr>
    </w:tbl>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hAnsi="仿宋_GB2312" w:eastAsia="仿宋_GB2312" w:cs="仿宋_GB2312"/>
          <w:sz w:val="28"/>
          <w:szCs w:val="21"/>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1"/>
          <w:lang w:eastAsia="zh-CN"/>
        </w:rPr>
        <w:sectPr>
          <w:pgSz w:w="16838" w:h="11906" w:orient="landscape"/>
          <w:pgMar w:top="1531" w:right="2098" w:bottom="1531" w:left="1985" w:header="851" w:footer="1588" w:gutter="0"/>
          <w:pgNumType w:fmt="numberInDash"/>
          <w:cols w:space="425" w:num="1"/>
          <w:docGrid w:type="linesAndChars" w:linePitch="579" w:charSpace="-849"/>
        </w:sectPr>
      </w:pPr>
      <w:r>
        <w:rPr>
          <w:rFonts w:hint="eastAsia" w:ascii="仿宋_GB2312" w:hAnsi="仿宋_GB2312" w:eastAsia="仿宋_GB2312" w:cs="仿宋_GB2312"/>
          <w:sz w:val="28"/>
          <w:szCs w:val="21"/>
          <w:lang w:eastAsia="zh-CN"/>
        </w:rPr>
        <w:t>备注：从轻处罚幅度统一按照《福建省人力资源社会保障行政处罚裁量基准（2021版）》中违法行为修正裁量基准表的裁量等级取值-2。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lang w:eastAsia="zh-CN"/>
        </w:rPr>
      </w:pPr>
      <w:r>
        <w:rPr>
          <w:rFonts w:hint="eastAsia" w:ascii="黑体" w:hAnsi="黑体" w:eastAsia="黑体" w:cs="黑体"/>
          <w:lang w:eastAsia="zh-CN"/>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三明市人力资源和社会保障局劳动保障监察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责令改正决定书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rPr>
          <w:rFonts w:hint="eastAsia"/>
          <w:lang w:eastAsia="zh-CN"/>
        </w:rPr>
      </w:pPr>
      <w:r>
        <w:rPr>
          <w:rFonts w:hint="eastAsia"/>
          <w:lang w:eastAsia="zh-CN"/>
        </w:rPr>
        <w:t xml:space="preserve">人社监令字[     ]第   号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r>
        <w:rPr>
          <w:rFonts w:hint="eastAsia"/>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r>
        <w:rPr>
          <w:rFonts w:hint="eastAsia"/>
          <w:lang w:eastAsia="zh-CN"/>
        </w:rPr>
        <w:t>被责令改正单位（人）：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u w:val="single"/>
          <w:lang w:eastAsia="zh-CN"/>
        </w:rPr>
      </w:pPr>
      <w:r>
        <w:rPr>
          <w:rFonts w:hint="eastAsia"/>
          <w:lang w:eastAsia="zh-CN"/>
        </w:rPr>
        <w:t>（案由）</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u w:val="single"/>
          <w:lang w:val="en-US" w:eastAsia="zh-CN"/>
        </w:rPr>
      </w:pPr>
      <w:r>
        <w:rPr>
          <w:rFonts w:hint="eastAsia"/>
          <w:lang w:eastAsia="zh-CN"/>
        </w:rPr>
        <w:t>（认定的事实和证据）</w:t>
      </w: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left"/>
        <w:textAlignment w:val="auto"/>
        <w:rPr>
          <w:rFonts w:hint="eastAsia"/>
          <w:u w:val="single"/>
          <w:lang w:val="en-US" w:eastAsia="zh-CN"/>
        </w:rPr>
      </w:pPr>
      <w:r>
        <w:rPr>
          <w:rFonts w:hint="eastAsia"/>
          <w:lang w:eastAsia="zh-CN"/>
        </w:rPr>
        <w:t>你（单位）的行为违反了</w:t>
      </w: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u w:val="single"/>
          <w:lang w:val="en-US" w:eastAsia="zh-CN"/>
        </w:rPr>
      </w:pPr>
      <w:r>
        <w:rPr>
          <w:rFonts w:hint="eastAsia"/>
          <w:lang w:eastAsia="zh-CN"/>
        </w:rPr>
        <w:t>根据（责令改正依据）</w:t>
      </w: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u w:val="single"/>
          <w:lang w:eastAsia="zh-CN"/>
        </w:rPr>
      </w:pPr>
      <w:r>
        <w:rPr>
          <w:rFonts w:hint="eastAsia"/>
          <w:lang w:eastAsia="zh-CN"/>
        </w:rPr>
        <w:t>决定责令你（单位）（改正内容和期限）：</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lang w:eastAsia="zh-CN"/>
        </w:rPr>
      </w:pPr>
      <w:r>
        <w:rPr>
          <w:rFonts w:hint="eastAsia"/>
          <w:lang w:eastAsia="zh-CN"/>
        </w:rPr>
        <w:t>拒不履行本责令改正决定的，依据《福建省人力资源社会保障行政处罚裁量基准（2021版）》规定处</w:t>
      </w:r>
      <w:r>
        <w:rPr>
          <w:rFonts w:hint="eastAsia"/>
          <w:u w:val="single"/>
          <w:lang w:eastAsia="zh-CN"/>
        </w:rPr>
        <w:t xml:space="preserve">      </w:t>
      </w:r>
      <w:r>
        <w:rPr>
          <w:rFonts w:hint="eastAsia"/>
          <w:lang w:eastAsia="zh-CN"/>
        </w:rPr>
        <w:t>元以上</w:t>
      </w:r>
      <w:r>
        <w:rPr>
          <w:rFonts w:hint="eastAsia"/>
          <w:u w:val="single"/>
          <w:lang w:eastAsia="zh-CN"/>
        </w:rPr>
        <w:t xml:space="preserve">       </w:t>
      </w:r>
      <w:r>
        <w:rPr>
          <w:rFonts w:hint="eastAsia"/>
          <w:lang w:eastAsia="zh-CN"/>
        </w:rPr>
        <w:t>元以下的罚款。</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lang w:eastAsia="zh-CN"/>
        </w:rPr>
      </w:pPr>
      <w:r>
        <w:rPr>
          <w:rFonts w:hint="eastAsia"/>
          <w:lang w:eastAsia="zh-CN"/>
        </w:rPr>
        <w:t>如不服本责令改正决定，可在收到本责令改正决定书之日起60日内向三明市人民政府申请行政复议，或者自收到本责令改正决定书之日起三个月内向三元区人民法院起诉，但不得自行停止执行本责令改正决定。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r>
        <w:rPr>
          <w:rFonts w:hint="eastAsia"/>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rPr>
          <w:rFonts w:hint="eastAsia"/>
          <w:lang w:eastAsia="zh-CN"/>
        </w:rPr>
      </w:pPr>
      <w:r>
        <w:rPr>
          <w:rFonts w:hint="eastAsia"/>
          <w:lang w:eastAsia="zh-CN"/>
        </w:rPr>
        <w:t>年  月  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r>
        <w:rPr>
          <w:rFonts w:hint="eastAsia"/>
          <w:lang w:eastAsia="zh-CN"/>
        </w:rPr>
        <w:t>备注：本决定书一式两联，一联留存劳动保障监察机构，一联交当事人。</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eastAsia="zh-CN"/>
        </w:rPr>
      </w:pPr>
      <w:r>
        <w:rPr>
          <w:rFonts w:hint="eastAsia" w:ascii="黑体" w:hAnsi="黑体" w:eastAsia="黑体" w:cs="黑体"/>
          <w:lang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三明市人力资源和社会保障局行政告诫书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 xml:space="preserve">                                编号: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lang w:eastAsia="zh-CN"/>
        </w:rPr>
      </w:pP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本机关在日常监管和行政执法过程中发现,你(单位)</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lang w:eastAsia="zh-CN"/>
        </w:rPr>
        <w:t xml:space="preserve"> ,系轻微违法行为。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lang w:eastAsia="zh-CN"/>
        </w:rPr>
        <w:t>(法律法规名称、条款)规定,现要求你(单位)在</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lang w:eastAsia="zh-CN"/>
        </w:rPr>
        <w:t>前,主动纠正违法违规行为。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逾期不予纠正和整改,本机关将依法进行查处。</w:t>
      </w:r>
    </w:p>
    <w:p>
      <w:pPr>
        <w:pStyle w:val="2"/>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eastAsia" w:ascii="仿宋_GB2312" w:hAnsi="仿宋_GB2312" w:eastAsia="仿宋_GB2312" w:cs="仿宋_GB2312"/>
          <w:lang w:eastAsia="zh-CN"/>
        </w:rPr>
      </w:pPr>
      <w:r>
        <w:rPr>
          <w:rFonts w:hint="eastAsia" w:ascii="仿宋_GB2312" w:hAnsi="仿宋_GB2312" w:cs="仿宋_GB2312"/>
          <w:lang w:eastAsia="zh-CN"/>
        </w:rPr>
        <w:t>（</w:t>
      </w:r>
      <w:r>
        <w:rPr>
          <w:rFonts w:hint="eastAsia" w:ascii="仿宋_GB2312" w:hAnsi="仿宋_GB2312" w:eastAsia="仿宋_GB2312" w:cs="仿宋_GB2312"/>
          <w:lang w:eastAsia="zh-CN"/>
        </w:rPr>
        <w:t>行政执法机关印章</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0" w:firstLineChars="20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年</w:t>
      </w:r>
      <w:r>
        <w:rPr>
          <w:rFonts w:hint="eastAsia" w:ascii="仿宋_GB2312" w:hAnsi="仿宋_GB2312" w:cs="仿宋_GB2312"/>
          <w:lang w:val="en-US" w:eastAsia="zh-CN"/>
        </w:rPr>
        <w:t xml:space="preserve">  </w:t>
      </w:r>
      <w:r>
        <w:rPr>
          <w:rFonts w:hint="eastAsia" w:ascii="仿宋_GB2312" w:hAnsi="仿宋_GB2312" w:eastAsia="仿宋_GB2312" w:cs="仿宋_GB2312"/>
          <w:lang w:eastAsia="zh-CN"/>
        </w:rPr>
        <w:t>月</w:t>
      </w:r>
      <w:r>
        <w:rPr>
          <w:rFonts w:hint="eastAsia" w:ascii="仿宋_GB2312" w:hAnsi="仿宋_GB2312" w:cs="仿宋_GB2312"/>
          <w:lang w:val="en-US" w:eastAsia="zh-CN"/>
        </w:rPr>
        <w:t xml:space="preserve">  </w:t>
      </w:r>
      <w:r>
        <w:rPr>
          <w:rFonts w:hint="eastAsia" w:ascii="仿宋_GB2312" w:hAnsi="仿宋_GB2312" w:eastAsia="仿宋_GB2312" w:cs="仿宋_GB231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本文书一式二份,一份送达,一份归档。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送达人签名:                     被送达人签名: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送达时间: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lang w:eastAsia="zh-CN"/>
        </w:rPr>
      </w:pPr>
      <w:r>
        <w:rPr>
          <w:rFonts w:hint="eastAsia" w:ascii="黑体" w:hAnsi="黑体" w:eastAsia="黑体" w:cs="黑体"/>
          <w:lang w:eastAsia="zh-CN"/>
        </w:rPr>
        <w:t>附件5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三明市人力资源和社会保障局约谈记录单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noWrap w:val="0"/>
            <w:vAlign w:val="top"/>
          </w:tcPr>
          <w:p>
            <w:pPr>
              <w:rPr>
                <w:rFonts w:hint="eastAsia"/>
                <w:sz w:val="28"/>
                <w:szCs w:val="28"/>
              </w:rPr>
            </w:pPr>
            <w:r>
              <w:rPr>
                <w:rFonts w:hint="eastAsia"/>
                <w:sz w:val="28"/>
                <w:szCs w:val="28"/>
              </w:rPr>
              <w:t xml:space="preserve">被约谈单位：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noWrap w:val="0"/>
            <w:vAlign w:val="top"/>
          </w:tcPr>
          <w:p>
            <w:pPr>
              <w:rPr>
                <w:rFonts w:hint="eastAsia"/>
                <w:sz w:val="28"/>
                <w:szCs w:val="28"/>
              </w:rPr>
            </w:pPr>
            <w:r>
              <w:rPr>
                <w:rFonts w:hint="eastAsia"/>
                <w:sz w:val="28"/>
                <w:szCs w:val="28"/>
              </w:rPr>
              <w:t xml:space="preserve">被约谈人姓名：             性别：              年龄：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noWrap w:val="0"/>
            <w:vAlign w:val="top"/>
          </w:tcPr>
          <w:p>
            <w:pPr>
              <w:rPr>
                <w:rFonts w:hint="eastAsia"/>
                <w:sz w:val="28"/>
                <w:szCs w:val="28"/>
              </w:rPr>
            </w:pPr>
            <w:r>
              <w:rPr>
                <w:rFonts w:hint="eastAsia"/>
                <w:sz w:val="28"/>
                <w:szCs w:val="28"/>
              </w:rPr>
              <w:t>工作单位：                              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noWrap w:val="0"/>
            <w:vAlign w:val="top"/>
          </w:tcPr>
          <w:p>
            <w:pPr>
              <w:rPr>
                <w:rFonts w:hint="eastAsia"/>
                <w:sz w:val="28"/>
                <w:szCs w:val="28"/>
              </w:rPr>
            </w:pPr>
            <w:r>
              <w:rPr>
                <w:rFonts w:hint="eastAsia"/>
                <w:sz w:val="28"/>
                <w:szCs w:val="28"/>
              </w:rPr>
              <w:t>约谈地点：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noWrap w:val="0"/>
            <w:vAlign w:val="top"/>
          </w:tcPr>
          <w:p>
            <w:pPr>
              <w:rPr>
                <w:rFonts w:hint="eastAsia"/>
                <w:sz w:val="28"/>
                <w:szCs w:val="28"/>
              </w:rPr>
            </w:pPr>
            <w:r>
              <w:rPr>
                <w:rFonts w:hint="eastAsia"/>
                <w:sz w:val="28"/>
                <w:szCs w:val="28"/>
              </w:rPr>
              <w:t>询问人：                        记录人：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noWrap w:val="0"/>
            <w:vAlign w:val="top"/>
          </w:tcPr>
          <w:p>
            <w:pPr>
              <w:rPr>
                <w:rFonts w:hint="eastAsia"/>
                <w:sz w:val="28"/>
                <w:szCs w:val="28"/>
              </w:rPr>
            </w:pPr>
            <w:r>
              <w:rPr>
                <w:rFonts w:hint="eastAsia"/>
                <w:sz w:val="28"/>
                <w:szCs w:val="28"/>
              </w:rPr>
              <w:t>参加人员：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noWrap w:val="0"/>
            <w:vAlign w:val="top"/>
          </w:tcPr>
          <w:p>
            <w:pPr>
              <w:rPr>
                <w:rFonts w:hint="eastAsia"/>
                <w:sz w:val="28"/>
                <w:szCs w:val="28"/>
              </w:rPr>
            </w:pPr>
            <w:r>
              <w:rPr>
                <w:rFonts w:hint="eastAsia"/>
                <w:sz w:val="28"/>
                <w:szCs w:val="28"/>
              </w:rPr>
              <w:t>约谈时间：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bottom w:val="single" w:color="000000" w:sz="4" w:space="0"/>
            </w:tcBorders>
            <w:noWrap w:val="0"/>
            <w:vAlign w:val="top"/>
          </w:tcPr>
          <w:p>
            <w:pPr>
              <w:rPr>
                <w:rFonts w:hint="eastAsia"/>
                <w:sz w:val="28"/>
                <w:szCs w:val="28"/>
              </w:rPr>
            </w:pPr>
            <w:r>
              <w:rPr>
                <w:rFonts w:hint="eastAsia"/>
                <w:sz w:val="28"/>
                <w:szCs w:val="28"/>
              </w:rPr>
              <w:t xml:space="preserve">约谈主要内容：                       </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xml:space="preserve">                                      </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bottom w:val="nil"/>
            </w:tcBorders>
            <w:noWrap w:val="0"/>
            <w:vAlign w:val="top"/>
          </w:tcPr>
          <w:p>
            <w:pPr>
              <w:jc w:val="left"/>
              <w:rPr>
                <w:rFonts w:hint="eastAsia"/>
                <w:sz w:val="28"/>
                <w:szCs w:val="28"/>
              </w:rPr>
            </w:pPr>
          </w:p>
          <w:p>
            <w:pPr>
              <w:jc w:val="left"/>
              <w:rPr>
                <w:rFonts w:hint="eastAsia"/>
                <w:sz w:val="28"/>
                <w:szCs w:val="28"/>
              </w:rPr>
            </w:pPr>
          </w:p>
          <w:p>
            <w:pPr>
              <w:jc w:val="left"/>
              <w:rPr>
                <w:rFonts w:hint="eastAsia"/>
                <w:sz w:val="28"/>
                <w:szCs w:val="28"/>
              </w:rPr>
            </w:pPr>
          </w:p>
          <w:p>
            <w:pPr>
              <w:jc w:val="left"/>
              <w:rPr>
                <w:rFonts w:hint="eastAsia"/>
                <w:sz w:val="28"/>
                <w:szCs w:val="28"/>
              </w:rPr>
            </w:pPr>
          </w:p>
          <w:p>
            <w:pPr>
              <w:jc w:val="left"/>
              <w:rPr>
                <w:rFonts w:hint="eastAsia"/>
                <w:sz w:val="28"/>
                <w:szCs w:val="28"/>
              </w:rPr>
            </w:pPr>
          </w:p>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top w:val="nil"/>
              <w:bottom w:val="nil"/>
            </w:tcBorders>
            <w:noWrap w:val="0"/>
            <w:vAlign w:val="top"/>
          </w:tcPr>
          <w:p>
            <w:pPr>
              <w:jc w:val="left"/>
              <w:rPr>
                <w:rFonts w:hint="eastAsia"/>
                <w:sz w:val="28"/>
                <w:szCs w:val="28"/>
              </w:rPr>
            </w:pPr>
          </w:p>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top w:val="nil"/>
              <w:bottom w:val="nil"/>
            </w:tcBorders>
            <w:noWrap w:val="0"/>
            <w:vAlign w:val="top"/>
          </w:tcPr>
          <w:p>
            <w:pPr>
              <w:jc w:val="left"/>
              <w:rPr>
                <w:rFonts w:hint="eastAsia"/>
                <w:sz w:val="28"/>
                <w:szCs w:val="28"/>
              </w:rPr>
            </w:pPr>
          </w:p>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top w:val="nil"/>
              <w:bottom w:val="nil"/>
            </w:tcBorders>
            <w:noWrap w:val="0"/>
            <w:vAlign w:val="top"/>
          </w:tcPr>
          <w:p>
            <w:pPr>
              <w:jc w:val="left"/>
              <w:rPr>
                <w:rFonts w:hint="eastAsia"/>
                <w:sz w:val="28"/>
                <w:szCs w:val="28"/>
              </w:rPr>
            </w:pPr>
          </w:p>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top w:val="nil"/>
              <w:bottom w:val="nil"/>
            </w:tcBorders>
            <w:noWrap w:val="0"/>
            <w:vAlign w:val="top"/>
          </w:tcPr>
          <w:p>
            <w:pPr>
              <w:jc w:val="left"/>
              <w:rPr>
                <w:rFonts w:hint="eastAsia"/>
                <w:sz w:val="28"/>
                <w:szCs w:val="28"/>
              </w:rPr>
            </w:pPr>
          </w:p>
          <w:p>
            <w:pPr>
              <w:jc w:val="left"/>
              <w:rPr>
                <w:rFonts w:hint="eastAsia"/>
                <w:sz w:val="28"/>
                <w:szCs w:val="28"/>
              </w:rPr>
            </w:pPr>
          </w:p>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top w:val="nil"/>
              <w:bottom w:val="nil"/>
            </w:tcBorders>
            <w:noWrap w:val="0"/>
            <w:vAlign w:val="top"/>
          </w:tcPr>
          <w:p>
            <w:pPr>
              <w:jc w:val="left"/>
              <w:rPr>
                <w:rFonts w:hint="eastAsia"/>
                <w:sz w:val="28"/>
                <w:szCs w:val="28"/>
              </w:rPr>
            </w:pPr>
          </w:p>
          <w:p>
            <w:pPr>
              <w:jc w:val="left"/>
              <w:rPr>
                <w:rFonts w:hint="eastAsia"/>
                <w:sz w:val="28"/>
                <w:szCs w:val="28"/>
              </w:rPr>
            </w:pPr>
          </w:p>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958" w:type="dxa"/>
            <w:tcBorders>
              <w:top w:val="nil"/>
              <w:bottom w:val="nil"/>
            </w:tcBorders>
            <w:noWrap w:val="0"/>
            <w:vAlign w:val="top"/>
          </w:tcPr>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exact"/>
        </w:trPr>
        <w:tc>
          <w:tcPr>
            <w:tcW w:w="8958" w:type="dxa"/>
            <w:tcBorders>
              <w:top w:val="nil"/>
            </w:tcBorders>
            <w:noWrap w:val="0"/>
            <w:vAlign w:val="top"/>
          </w:tcPr>
          <w:p>
            <w:pPr>
              <w:jc w:val="left"/>
              <w:rPr>
                <w:rFonts w:hint="eastAsia"/>
                <w:sz w:val="28"/>
                <w:szCs w:val="28"/>
              </w:rPr>
            </w:pPr>
          </w:p>
          <w:p>
            <w:pPr>
              <w:jc w:val="left"/>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trPr>
        <w:tc>
          <w:tcPr>
            <w:tcW w:w="8958" w:type="dxa"/>
            <w:noWrap w:val="0"/>
            <w:vAlign w:val="top"/>
          </w:tcPr>
          <w:p>
            <w:pPr>
              <w:rPr>
                <w:rFonts w:hint="eastAsia"/>
                <w:sz w:val="28"/>
                <w:szCs w:val="28"/>
              </w:rPr>
            </w:pPr>
            <w:r>
              <w:rPr>
                <w:rFonts w:hint="eastAsia"/>
                <w:sz w:val="28"/>
                <w:szCs w:val="28"/>
              </w:rPr>
              <w:t>被约谈人（签名）：             约谈人（签名）：</w:t>
            </w:r>
          </w:p>
          <w:p>
            <w:pPr>
              <w:rPr>
                <w:rFonts w:hint="eastAsia"/>
                <w:sz w:val="28"/>
                <w:szCs w:val="28"/>
              </w:rPr>
            </w:pPr>
            <w:r>
              <w:rPr>
                <w:rFonts w:hint="eastAsia"/>
                <w:sz w:val="28"/>
                <w:szCs w:val="28"/>
              </w:rPr>
              <w:t>记录人（签名）：</w:t>
            </w:r>
          </w:p>
        </w:tc>
      </w:tr>
    </w:tbl>
    <w:p>
      <w:pPr>
        <w:rPr>
          <w:rFonts w:hint="eastAsia"/>
          <w:sz w:val="28"/>
          <w:szCs w:val="21"/>
          <w:lang w:eastAsia="zh-CN"/>
        </w:rPr>
        <w:sectPr>
          <w:pgSz w:w="11906" w:h="16838"/>
          <w:pgMar w:top="2098" w:right="1531" w:bottom="1985" w:left="1531" w:header="851" w:footer="1588" w:gutter="0"/>
          <w:pgNumType w:fmt="numberInDash"/>
          <w:cols w:space="425" w:num="1"/>
          <w:docGrid w:type="linesAndChars" w:linePitch="579" w:charSpace="-849"/>
        </w:sectPr>
      </w:pPr>
      <w:r>
        <w:rPr>
          <w:rFonts w:hint="eastAsia"/>
          <w:sz w:val="28"/>
          <w:szCs w:val="21"/>
          <w:lang w:eastAsia="zh-CN"/>
        </w:rPr>
        <w:t>备注：被约谈人在每页上记录单上签名，并签署“以上记录属实”。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lang w:eastAsia="zh-CN"/>
        </w:rPr>
      </w:pPr>
      <w:r>
        <w:rPr>
          <w:rFonts w:hint="eastAsia" w:ascii="黑体" w:hAnsi="黑体" w:eastAsia="黑体" w:cs="黑体"/>
          <w:lang w:eastAsia="zh-CN"/>
        </w:rPr>
        <w:t>附件6</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年度柔性执法统计报表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r>
        <w:rPr>
          <w:rFonts w:hint="eastAsia"/>
          <w:lang w:eastAsia="zh-CN"/>
        </w:rPr>
        <w:t>填报单位：         　　　   填报时间：　　　　　　　　联系电话：</w:t>
      </w:r>
    </w:p>
    <w:tbl>
      <w:tblPr>
        <w:tblStyle w:val="5"/>
        <w:tblW w:w="14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964"/>
        <w:gridCol w:w="964"/>
        <w:gridCol w:w="964"/>
        <w:gridCol w:w="964"/>
        <w:gridCol w:w="964"/>
        <w:gridCol w:w="964"/>
        <w:gridCol w:w="964"/>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964" w:type="dxa"/>
            <w:noWrap w:val="0"/>
            <w:vAlign w:val="center"/>
          </w:tcPr>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不予</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处罚</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减轻</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处罚</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从轻</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处罚</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不予</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强制</w:t>
            </w:r>
          </w:p>
          <w:p>
            <w:pPr>
              <w:pStyle w:val="3"/>
              <w:spacing w:line="3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说服</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教育</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劝导</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示范</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指导</w:t>
            </w:r>
          </w:p>
          <w:p>
            <w:pPr>
              <w:pStyle w:val="3"/>
              <w:spacing w:line="400" w:lineRule="exact"/>
              <w:ind w:left="-60" w:leftChars="-19" w:right="-110" w:rightChars="-35"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（人次）</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奖励</w:t>
            </w:r>
          </w:p>
          <w:p>
            <w:pPr>
              <w:pStyle w:val="3"/>
              <w:spacing w:line="400" w:lineRule="exact"/>
              <w:ind w:left="-75" w:leftChars="-24" w:right="-129" w:rightChars="-41" w:firstLine="46" w:firstLineChars="18"/>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（人次）</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和解</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建议</w:t>
            </w:r>
          </w:p>
          <w:p>
            <w:pPr>
              <w:pStyle w:val="3"/>
              <w:spacing w:line="400" w:lineRule="exact"/>
              <w:ind w:left="-58" w:leftChars="-19" w:right="-110" w:rightChars="-35" w:hanging="2"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（人次）</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提示</w:t>
            </w:r>
          </w:p>
          <w:p>
            <w:pPr>
              <w:pStyle w:val="3"/>
              <w:spacing w:line="400" w:lineRule="exact"/>
              <w:ind w:left="34" w:leftChars="-38" w:right="-129" w:rightChars="-41" w:hanging="154" w:hangingChars="6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（人次）</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约谈</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kern w:val="0"/>
                <w:sz w:val="28"/>
                <w:szCs w:val="28"/>
              </w:rPr>
            </w:pPr>
            <w:r>
              <w:rPr>
                <w:rFonts w:hint="eastAsia" w:ascii="仿宋_GB2312" w:hAnsi="仿宋_GB2312" w:eastAsia="仿宋_GB2312" w:cs="仿宋_GB2312"/>
                <w:color w:val="000000"/>
                <w:spacing w:val="-10"/>
                <w:sz w:val="28"/>
                <w:szCs w:val="28"/>
                <w:shd w:val="clear" w:color="auto" w:fill="FFFFFF"/>
              </w:rPr>
              <w:t>告诫（件）</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行政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回访</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c>
          <w:tcPr>
            <w:tcW w:w="964" w:type="dxa"/>
            <w:noWrap w:val="0"/>
            <w:vAlign w:val="center"/>
          </w:tcPr>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其他</w:t>
            </w:r>
          </w:p>
          <w:p>
            <w:pPr>
              <w:pStyle w:val="3"/>
              <w:spacing w:line="400" w:lineRule="exact"/>
              <w:ind w:firstLine="0" w:firstLineChars="0"/>
              <w:jc w:val="center"/>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964" w:type="dxa"/>
            <w:noWrap w:val="0"/>
            <w:vAlign w:val="center"/>
          </w:tcPr>
          <w:p>
            <w:pPr>
              <w:pStyle w:val="3"/>
              <w:ind w:firstLine="388"/>
              <w:jc w:val="center"/>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jc w:val="center"/>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jc w:val="center"/>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jc w:val="center"/>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c>
          <w:tcPr>
            <w:tcW w:w="964" w:type="dxa"/>
            <w:noWrap w:val="0"/>
            <w:vAlign w:val="center"/>
          </w:tcPr>
          <w:p>
            <w:pPr>
              <w:pStyle w:val="3"/>
              <w:ind w:firstLine="388"/>
              <w:rPr>
                <w:rFonts w:hint="eastAsia" w:ascii="仿宋_GB2312" w:hAnsi="仿宋_GB2312" w:eastAsia="仿宋_GB2312" w:cs="仿宋_GB2312"/>
                <w:color w:val="000000"/>
                <w:spacing w:val="-23"/>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填表说明：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1.所有事项的统计数量都应当具有实施该类柔性执法行为的文字记录；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eastAsia="zh-CN"/>
        </w:rPr>
        <w:sectPr>
          <w:pgSz w:w="16838" w:h="11906" w:orient="landscape"/>
          <w:pgMar w:top="1531" w:right="2098" w:bottom="1531" w:left="1985" w:header="851" w:footer="1588" w:gutter="0"/>
          <w:pgNumType w:fmt="numberInDash"/>
          <w:cols w:space="425" w:num="1"/>
          <w:docGrid w:type="linesAndChars" w:linePitch="579" w:charSpace="-849"/>
        </w:sectPr>
      </w:pPr>
      <w:r>
        <w:rPr>
          <w:rFonts w:hint="eastAsia" w:ascii="仿宋_GB2312" w:hAnsi="仿宋_GB2312" w:eastAsia="仿宋_GB2312" w:cs="仿宋_GB2312"/>
          <w:lang w:eastAsia="zh-CN"/>
        </w:rPr>
        <w:t>2.每年本报表应当与年度行政执法统计报表一并报本级人民政府、上级主管部门和本级司法行政部门。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lang w:eastAsia="zh-CN"/>
        </w:rPr>
      </w:pPr>
      <w:r>
        <w:rPr>
          <w:rFonts w:hint="eastAsia" w:ascii="黑体" w:hAnsi="黑体" w:eastAsia="黑体" w:cs="黑体"/>
          <w:lang w:eastAsia="zh-CN"/>
        </w:rPr>
        <w:t>附件7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柔性执法工作方法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一、规范行政执法全过程音像记录工作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各地应当对违法行为的事实、性质、情节以及社会危害程度进行全面调查，使用执法记录设备记录行政执法行为的各个环节和各项活动，并对调查取证过程进行全过程音像记录。同时，应做好相关记录和文书的整理归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二、规范案件办理程序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各地经调查发现符合“清单”规定的不予处罚或从轻处罚情形的，由调查部门或法制审查部门提出处理建议，报本单位集体审议后作出决定，集体审议过程应予以记录。案件办理过程应当符合有关行政处罚程序的制度规定。作出不予行政处罚或者从轻处罚决定的案件，应当在案卷中附具理由和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三、规范具体行政执法行为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（一）说服教育。</w:t>
      </w:r>
      <w:r>
        <w:rPr>
          <w:rFonts w:hint="eastAsia" w:ascii="仿宋_GB2312" w:hAnsi="仿宋_GB2312" w:eastAsia="仿宋_GB2312" w:cs="仿宋_GB2312"/>
          <w:lang w:eastAsia="zh-CN"/>
        </w:rPr>
        <w:t>根据法律法规和政策,通过摆事实、讲道理,使行政相对人心悦诚服地配合执法机关,以实现特定的行政目标。说服教育表现形式可以多样化,除了传统的说服教育方式外,还可以参考借鉴试点部门和外地的一些行之有效的经验做法,例如针对轻微违法行为,采取体验式执法或朋友圈集赞免罚等教育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（二）劝导示范。</w:t>
      </w:r>
      <w:r>
        <w:rPr>
          <w:rFonts w:hint="eastAsia" w:ascii="仿宋_GB2312" w:hAnsi="仿宋_GB2312" w:eastAsia="仿宋_GB2312" w:cs="仿宋_GB2312"/>
          <w:lang w:eastAsia="zh-CN"/>
        </w:rPr>
        <w:t>组建由执法人员、志愿者等组成的劝导示范队伍,通过实地劝导、示范带动的方式,文明用语、耐心细致对各类违法违规、不文明行为进行劝导、制止,以实现维护社会秩序的目标。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（三）行政指导。</w:t>
      </w:r>
      <w:r>
        <w:rPr>
          <w:rFonts w:hint="eastAsia" w:ascii="仿宋_GB2312" w:hAnsi="仿宋_GB2312" w:eastAsia="仿宋_GB2312" w:cs="仿宋_GB2312"/>
          <w:lang w:eastAsia="zh-CN"/>
        </w:rPr>
        <w:t>在行政管理过程中,通过对行政相对人开展业务咨询、法律宣传、政策解读和信息发布,为行政相对人等指明发展趋势,引导其规范行为、促进健康发展、维护合法权益。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（四）行政建议。</w:t>
      </w:r>
      <w:r>
        <w:rPr>
          <w:rFonts w:hint="eastAsia" w:ascii="仿宋_GB2312" w:hAnsi="仿宋_GB2312" w:eastAsia="仿宋_GB2312" w:cs="仿宋_GB2312"/>
          <w:lang w:eastAsia="zh-CN"/>
        </w:rPr>
        <w:t>根据行政管理和服务职能,在日常行政监管中主动为行政相对人出主意、想办法、提建议,引导其遵守法律、诚信经营,建立和完善各项管理制度,规范自身行为。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（五）行政提示。</w:t>
      </w:r>
      <w:r>
        <w:rPr>
          <w:rFonts w:hint="eastAsia" w:ascii="仿宋_GB2312" w:hAnsi="仿宋_GB2312" w:eastAsia="仿宋_GB2312" w:cs="仿宋_GB2312"/>
          <w:lang w:eastAsia="zh-CN"/>
        </w:rPr>
        <w:t>根据群众举报投诉和日常执法数据分析,为有效防范某种违法行为发生,在某一违法行为易发时段到来之前,主动向行政相对人宣传、解释法律法规,告知行政机关各项监管要求,提示、督促其依法履行义务,预防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（六）行政约谈。</w:t>
      </w:r>
      <w:r>
        <w:rPr>
          <w:rFonts w:hint="eastAsia" w:ascii="仿宋_GB2312" w:hAnsi="仿宋_GB2312" w:eastAsia="仿宋_GB2312" w:cs="仿宋_GB2312"/>
          <w:lang w:eastAsia="zh-CN"/>
        </w:rPr>
        <w:t>针对行政相对人因企业内部制度缺失或疏于管理导致的违法违规行为,或者在生产或经营活动中已经发现的突出问题,可采取集中或个别约谈方式,对其宣传法律法规、指出存在问题,督促和帮助其完善制度、整改问题、迅速纠正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（七）行政告诫。</w:t>
      </w:r>
      <w:r>
        <w:rPr>
          <w:rFonts w:hint="eastAsia" w:ascii="仿宋_GB2312" w:hAnsi="仿宋_GB2312" w:eastAsia="仿宋_GB2312" w:cs="仿宋_GB2312"/>
          <w:lang w:eastAsia="zh-CN"/>
        </w:rPr>
        <w:t>对行政相对人无主观故意、违法情节轻微、没有造成危害后果的违法违规行为,可通过行政告诫、警示等适当方式督促其采取相关措施及时予以纠正,并告知其正确规范和行为要求,而依法不予处罚或处理。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（八）行政回访。</w:t>
      </w:r>
      <w:r>
        <w:rPr>
          <w:rFonts w:hint="eastAsia" w:ascii="仿宋_GB2312" w:hAnsi="仿宋_GB2312" w:eastAsia="仿宋_GB2312" w:cs="仿宋_GB2312"/>
          <w:lang w:eastAsia="zh-CN"/>
        </w:rPr>
        <w:t>行政执法部门在做出行政决定后,按照行政执法监督的要求,对行政相对人进行跟踪回访,了解行政执法行为是否合法、公正,行政相对人的违法行为是否得到纠正,征求行政相对人的意见及建议的活动。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四、规范案件信息公示制度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各地应当严格执行案件处罚信息公示制度，对下达的行政命令和行政处罚决定应及时向社会进行公开。</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44B57633"/>
    <w:rsid w:val="44B5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5"/>
    <w:basedOn w:val="1"/>
    <w:next w:val="1"/>
    <w:qFormat/>
    <w:uiPriority w:val="0"/>
    <w:pPr>
      <w:ind w:left="1680"/>
    </w:pPr>
    <w:rPr>
      <w:rFonts w:ascii="仿宋_GB2312" w:eastAsia="仿宋_GB2312"/>
      <w:sz w:val="32"/>
      <w:szCs w:val="32"/>
    </w:rPr>
  </w:style>
  <w:style w:type="paragraph" w:styleId="3">
    <w:name w:val="Normal Indent"/>
    <w:basedOn w:val="1"/>
    <w:qFormat/>
    <w:uiPriority w:val="99"/>
    <w:pPr>
      <w:spacing w:line="560" w:lineRule="exact"/>
      <w:ind w:firstLine="420" w:firstLineChars="200"/>
    </w:pPr>
    <w:rPr>
      <w:rFonts w:ascii="Calibri" w:hAnsi="Calibri" w:eastAsia="宋体" w:cs="Times New Roman"/>
      <w:sz w:val="21"/>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2022-08-11T02:36:00Z</dcterms:created>
  <dc:creator>WPS_1644971829</dc:creator>
  <cp:lastModifiedBy>WPS_1644971829</cp:lastModifiedBy>
  <dcterms:modified xsi:type="dcterms:W3CDTF">2022-08-11T02:36:18Z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A1737A34D49F4B42A586E17F44C7297C</vt:lpwstr>
  </property>
</Properties>
</file>