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FC90D">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黑体" w:hAnsi="黑体" w:eastAsia="黑体" w:cs="黑体"/>
          <w:sz w:val="32"/>
          <w:szCs w:val="22"/>
          <w:lang w:eastAsia="zh-CN"/>
        </w:rPr>
      </w:pPr>
      <w:r>
        <w:rPr>
          <w:rFonts w:hint="eastAsia" w:ascii="黑体" w:hAnsi="黑体" w:eastAsia="黑体" w:cs="黑体"/>
          <w:sz w:val="32"/>
          <w:szCs w:val="22"/>
          <w:lang w:eastAsia="zh-CN"/>
        </w:rPr>
        <w:t>附件</w:t>
      </w:r>
    </w:p>
    <w:p w14:paraId="443C98BF">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方正小标宋简体" w:hAnsi="方正小标宋简体" w:eastAsia="方正小标宋简体" w:cs="方正小标宋简体"/>
          <w:sz w:val="44"/>
          <w:szCs w:val="32"/>
          <w:lang w:eastAsia="zh-CN"/>
        </w:rPr>
      </w:pPr>
    </w:p>
    <w:p w14:paraId="70D0E7C5">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32"/>
          <w:lang w:eastAsia="zh-CN"/>
        </w:rPr>
      </w:pPr>
      <w:r>
        <w:rPr>
          <w:rFonts w:hint="eastAsia" w:ascii="方正小标宋简体" w:hAnsi="方正小标宋简体" w:eastAsia="方正小标宋简体" w:cs="方正小标宋简体"/>
          <w:sz w:val="44"/>
          <w:szCs w:val="32"/>
          <w:lang w:eastAsia="zh-CN"/>
        </w:rPr>
        <w:t>三明市工伤预防联席会议成员单位名单</w:t>
      </w:r>
    </w:p>
    <w:p w14:paraId="45D1BD0B">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sz w:val="32"/>
          <w:szCs w:val="22"/>
          <w:lang w:eastAsia="zh-CN"/>
        </w:rPr>
      </w:pPr>
    </w:p>
    <w:p w14:paraId="03BEA0B4">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b/>
          <w:bCs/>
          <w:sz w:val="32"/>
          <w:szCs w:val="22"/>
          <w:lang w:eastAsia="zh-CN"/>
        </w:rPr>
        <w:t>召集人：</w:t>
      </w:r>
      <w:r>
        <w:rPr>
          <w:rFonts w:hint="eastAsia" w:ascii="仿宋_GB2312" w:hAnsi="仿宋_GB2312" w:eastAsia="仿宋_GB2312" w:cs="仿宋_GB2312"/>
          <w:sz w:val="32"/>
          <w:szCs w:val="22"/>
          <w:lang w:eastAsia="zh-CN"/>
        </w:rPr>
        <w:t>王希方　市人社局二级调研员</w:t>
      </w:r>
    </w:p>
    <w:p w14:paraId="572101B9">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b/>
          <w:bCs/>
          <w:sz w:val="32"/>
          <w:szCs w:val="22"/>
          <w:lang w:eastAsia="zh-CN"/>
        </w:rPr>
        <w:t>成　员：</w:t>
      </w:r>
      <w:r>
        <w:rPr>
          <w:rFonts w:hint="eastAsia" w:ascii="仿宋_GB2312" w:hAnsi="仿宋_GB2312" w:eastAsia="仿宋_GB2312" w:cs="仿宋_GB2312"/>
          <w:sz w:val="32"/>
          <w:szCs w:val="22"/>
          <w:lang w:eastAsia="zh-CN"/>
        </w:rPr>
        <w:t>宋东臣　市人社局工伤保险科负责人</w:t>
      </w:r>
    </w:p>
    <w:p w14:paraId="0B1190BF">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　　　　罗志晔　市工信局工业运行科负责人</w:t>
      </w:r>
    </w:p>
    <w:p w14:paraId="78518790">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　　　　童  倩　市财政局社会保障科科长</w:t>
      </w:r>
    </w:p>
    <w:p w14:paraId="2E81AD48">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　　　　林  强　市住建局建筑业科科长</w:t>
      </w:r>
    </w:p>
    <w:p w14:paraId="327812CC">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　　　　郭　敏　市交通运输局安全监督科负责人</w:t>
      </w:r>
    </w:p>
    <w:p w14:paraId="20329C79">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 xml:space="preserve">　　　　林  航　市卫健委疾控科科长 </w:t>
      </w:r>
    </w:p>
    <w:p w14:paraId="610376F1">
      <w:pPr>
        <w:keepNext w:val="0"/>
        <w:keepLines w:val="0"/>
        <w:pageBreakBefore w:val="0"/>
        <w:widowControl w:val="0"/>
        <w:kinsoku/>
        <w:wordWrap/>
        <w:overflowPunct/>
        <w:topLinePunct w:val="0"/>
        <w:autoSpaceDE/>
        <w:autoSpaceDN/>
        <w:bidi w:val="0"/>
        <w:adjustRightInd/>
        <w:snapToGrid/>
        <w:spacing w:line="560" w:lineRule="exact"/>
        <w:ind w:right="0" w:rightChars="0" w:firstLine="1896" w:firstLineChars="6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王昌福　市应急管理局风险预警和综合减灾科科长</w:t>
      </w:r>
    </w:p>
    <w:p w14:paraId="2EE34EB9">
      <w:pPr>
        <w:keepNext w:val="0"/>
        <w:keepLines w:val="0"/>
        <w:pageBreakBefore w:val="0"/>
        <w:widowControl w:val="0"/>
        <w:kinsoku/>
        <w:wordWrap/>
        <w:overflowPunct/>
        <w:topLinePunct w:val="0"/>
        <w:autoSpaceDE/>
        <w:autoSpaceDN/>
        <w:bidi w:val="0"/>
        <w:adjustRightInd/>
        <w:snapToGrid/>
        <w:spacing w:line="560" w:lineRule="exact"/>
        <w:ind w:right="0" w:rightChars="0" w:firstLine="1896" w:firstLineChars="6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陈  芸　市市场监管局价格监督检查科科长</w:t>
      </w:r>
    </w:p>
    <w:p w14:paraId="37A63917">
      <w:pPr>
        <w:keepNext w:val="0"/>
        <w:keepLines w:val="0"/>
        <w:pageBreakBefore w:val="0"/>
        <w:widowControl w:val="0"/>
        <w:kinsoku/>
        <w:wordWrap/>
        <w:overflowPunct/>
        <w:topLinePunct w:val="0"/>
        <w:autoSpaceDE/>
        <w:autoSpaceDN/>
        <w:bidi w:val="0"/>
        <w:adjustRightInd/>
        <w:snapToGrid/>
        <w:spacing w:line="560" w:lineRule="exact"/>
        <w:ind w:right="0" w:rightChars="0" w:firstLine="1896" w:firstLineChars="6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刘有端　市总工会劳动和经技工作部部长</w:t>
      </w:r>
    </w:p>
    <w:p w14:paraId="667DB4A7">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sz w:val="32"/>
          <w:szCs w:val="22"/>
          <w:lang w:eastAsia="zh-CN"/>
        </w:rPr>
        <w:sectPr>
          <w:pgSz w:w="11906" w:h="16838"/>
          <w:pgMar w:top="2098" w:right="1531" w:bottom="1985" w:left="1531" w:header="851" w:footer="1588" w:gutter="0"/>
          <w:pgNumType w:fmt="numberInDash"/>
          <w:cols w:space="425" w:num="1"/>
          <w:docGrid w:type="linesAndChars" w:linePitch="579" w:charSpace="-849"/>
        </w:sectPr>
      </w:pPr>
    </w:p>
    <w:p w14:paraId="5E7FEA69">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32"/>
          <w:lang w:eastAsia="zh-CN"/>
        </w:rPr>
      </w:pPr>
      <w:r>
        <w:rPr>
          <w:rFonts w:hint="eastAsia" w:ascii="方正小标宋简体" w:hAnsi="方正小标宋简体" w:eastAsia="方正小标宋简体" w:cs="方正小标宋简体"/>
          <w:sz w:val="44"/>
          <w:szCs w:val="32"/>
          <w:lang w:eastAsia="zh-CN"/>
        </w:rPr>
        <w:t>福建省人力资源和社会保障厅等九部门</w:t>
      </w:r>
    </w:p>
    <w:p w14:paraId="78F975C5">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32"/>
          <w:lang w:eastAsia="zh-CN"/>
        </w:rPr>
      </w:pPr>
      <w:r>
        <w:rPr>
          <w:rFonts w:hint="eastAsia" w:ascii="方正小标宋简体" w:hAnsi="方正小标宋简体" w:eastAsia="方正小标宋简体" w:cs="方正小标宋简体"/>
          <w:sz w:val="44"/>
          <w:szCs w:val="32"/>
          <w:lang w:eastAsia="zh-CN"/>
        </w:rPr>
        <w:t>关于印发《福建省工伤预防五年行动计划</w:t>
      </w:r>
    </w:p>
    <w:p w14:paraId="0867D1CB">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32"/>
          <w:lang w:eastAsia="zh-CN"/>
        </w:rPr>
      </w:pPr>
      <w:r>
        <w:rPr>
          <w:rFonts w:hint="eastAsia" w:ascii="方正小标宋简体" w:hAnsi="方正小标宋简体" w:eastAsia="方正小标宋简体" w:cs="方正小标宋简体"/>
          <w:sz w:val="44"/>
          <w:szCs w:val="32"/>
          <w:lang w:eastAsia="zh-CN"/>
        </w:rPr>
        <w:t>（</w:t>
      </w:r>
      <w:r>
        <w:rPr>
          <w:rFonts w:hint="eastAsia" w:asciiTheme="minorEastAsia" w:hAnsiTheme="minorEastAsia" w:eastAsiaTheme="minorEastAsia" w:cstheme="minorEastAsia"/>
          <w:sz w:val="44"/>
          <w:szCs w:val="32"/>
          <w:lang w:eastAsia="zh-CN"/>
        </w:rPr>
        <w:t>2026</w:t>
      </w:r>
      <w:r>
        <w:rPr>
          <w:rFonts w:hint="eastAsia" w:ascii="方正小标宋简体" w:hAnsi="方正小标宋简体" w:eastAsia="方正小标宋简体" w:cs="方正小标宋简体"/>
          <w:sz w:val="44"/>
          <w:szCs w:val="32"/>
          <w:lang w:eastAsia="zh-CN"/>
        </w:rPr>
        <w:t>－</w:t>
      </w:r>
      <w:r>
        <w:rPr>
          <w:rFonts w:hint="eastAsia" w:asciiTheme="minorEastAsia" w:hAnsiTheme="minorEastAsia" w:eastAsiaTheme="minorEastAsia" w:cstheme="minorEastAsia"/>
          <w:sz w:val="44"/>
          <w:szCs w:val="32"/>
          <w:lang w:eastAsia="zh-CN"/>
        </w:rPr>
        <w:t>2030</w:t>
      </w:r>
      <w:r>
        <w:rPr>
          <w:rFonts w:hint="eastAsia" w:ascii="方正小标宋简体" w:hAnsi="方正小标宋简体" w:eastAsia="方正小标宋简体" w:cs="方正小标宋简体"/>
          <w:sz w:val="44"/>
          <w:szCs w:val="32"/>
          <w:lang w:eastAsia="zh-CN"/>
        </w:rPr>
        <w:t>年）实施方案》的通知</w:t>
      </w:r>
    </w:p>
    <w:p w14:paraId="283E477A">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w:t>
      </w:r>
      <w:r>
        <w:rPr>
          <w:rFonts w:hint="eastAsia" w:ascii="楷体_GB2312" w:hAnsi="楷体_GB2312" w:eastAsia="楷体_GB2312" w:cs="楷体_GB2312"/>
          <w:lang w:val="en-US" w:eastAsia="zh-CN"/>
        </w:rPr>
        <w:t>闽人社文〔</w:t>
      </w:r>
      <w:r>
        <w:rPr>
          <w:rFonts w:hint="eastAsia" w:asciiTheme="minorEastAsia" w:hAnsiTheme="minorEastAsia" w:eastAsiaTheme="minorEastAsia" w:cstheme="minorEastAsia"/>
          <w:lang w:val="en-US" w:eastAsia="zh-CN"/>
        </w:rPr>
        <w:t>2026</w:t>
      </w:r>
      <w:r>
        <w:rPr>
          <w:rFonts w:hint="eastAsia" w:ascii="楷体_GB2312" w:hAnsi="楷体_GB2312" w:eastAsia="楷体_GB2312" w:cs="楷体_GB2312"/>
          <w:lang w:val="en-US" w:eastAsia="zh-CN"/>
        </w:rPr>
        <w:t>〕</w:t>
      </w:r>
      <w:r>
        <w:rPr>
          <w:rFonts w:hint="eastAsia" w:asciiTheme="minorEastAsia" w:hAnsiTheme="minorEastAsia" w:eastAsiaTheme="minorEastAsia" w:cstheme="minorEastAsia"/>
          <w:lang w:val="en-US" w:eastAsia="zh-CN"/>
        </w:rPr>
        <w:t>11</w:t>
      </w:r>
      <w:r>
        <w:rPr>
          <w:rFonts w:hint="eastAsia" w:ascii="楷体_GB2312" w:hAnsi="楷体_GB2312" w:eastAsia="楷体_GB2312" w:cs="楷体_GB2312"/>
          <w:lang w:val="en-US" w:eastAsia="zh-CN"/>
        </w:rPr>
        <w:t>号</w:t>
      </w:r>
      <w:r>
        <w:rPr>
          <w:rFonts w:hint="eastAsia" w:ascii="楷体_GB2312" w:hAnsi="楷体_GB2312" w:eastAsia="楷体_GB2312" w:cs="楷体_GB2312"/>
          <w:sz w:val="32"/>
          <w:szCs w:val="22"/>
          <w:lang w:eastAsia="zh-CN"/>
        </w:rPr>
        <w:t>）</w:t>
      </w:r>
    </w:p>
    <w:p w14:paraId="0E879E29">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楷体_GB2312" w:hAnsi="楷体_GB2312" w:eastAsia="楷体_GB2312" w:cs="楷体_GB2312"/>
          <w:sz w:val="32"/>
          <w:szCs w:val="22"/>
          <w:lang w:eastAsia="zh-CN"/>
        </w:rPr>
      </w:pPr>
    </w:p>
    <w:p w14:paraId="23C8585D">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各设区市人社局、工信局、财政局、住建局、交通运输局、卫健委、应急管理局、市场监管局、总工会，平潭综合实验区社会事业局、经发局、财金局、交建局、市场监管局、执法应急局、总工会：</w:t>
      </w:r>
    </w:p>
    <w:p w14:paraId="6F96D168">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为切实做好“十五五”时期工伤预防工作，根据人力资源社会保障部等九部门《关于印发工伤预防五年行动计划（</w:t>
      </w:r>
      <w:r>
        <w:rPr>
          <w:rFonts w:hint="eastAsia" w:asciiTheme="minorEastAsia" w:hAnsiTheme="minorEastAsia" w:eastAsiaTheme="minorEastAsia" w:cstheme="minorEastAsia"/>
          <w:sz w:val="32"/>
          <w:szCs w:val="22"/>
          <w:lang w:eastAsia="zh-CN"/>
        </w:rPr>
        <w:t>2026</w:t>
      </w:r>
      <w:r>
        <w:rPr>
          <w:rFonts w:hint="eastAsia" w:ascii="仿宋_GB2312" w:hAnsi="仿宋_GB2312" w:eastAsia="仿宋_GB2312" w:cs="仿宋_GB2312"/>
          <w:sz w:val="32"/>
          <w:szCs w:val="22"/>
          <w:lang w:eastAsia="zh-CN"/>
        </w:rPr>
        <w:t>－</w:t>
      </w:r>
      <w:r>
        <w:rPr>
          <w:rFonts w:hint="eastAsia" w:asciiTheme="minorEastAsia" w:hAnsiTheme="minorEastAsia" w:eastAsiaTheme="minorEastAsia" w:cstheme="minorEastAsia"/>
          <w:sz w:val="32"/>
          <w:szCs w:val="22"/>
          <w:lang w:eastAsia="zh-CN"/>
        </w:rPr>
        <w:t>2030</w:t>
      </w:r>
      <w:r>
        <w:rPr>
          <w:rFonts w:hint="eastAsia" w:ascii="仿宋_GB2312" w:hAnsi="仿宋_GB2312" w:eastAsia="仿宋_GB2312" w:cs="仿宋_GB2312"/>
          <w:sz w:val="32"/>
          <w:szCs w:val="22"/>
          <w:lang w:eastAsia="zh-CN"/>
        </w:rPr>
        <w:t>年）的通知》（人社部发〔</w:t>
      </w:r>
      <w:r>
        <w:rPr>
          <w:rFonts w:hint="eastAsia" w:asciiTheme="minorEastAsia" w:hAnsiTheme="minorEastAsia" w:eastAsiaTheme="minorEastAsia" w:cstheme="minorEastAsia"/>
          <w:sz w:val="32"/>
          <w:szCs w:val="22"/>
          <w:lang w:eastAsia="zh-CN"/>
        </w:rPr>
        <w:t>2026</w:t>
      </w:r>
      <w:r>
        <w:rPr>
          <w:rFonts w:hint="eastAsia" w:ascii="仿宋_GB2312" w:hAnsi="仿宋_GB2312" w:eastAsia="仿宋_GB2312" w:cs="仿宋_GB2312"/>
          <w:sz w:val="32"/>
          <w:szCs w:val="22"/>
          <w:lang w:eastAsia="zh-CN"/>
        </w:rPr>
        <w:t>〕</w:t>
      </w:r>
      <w:r>
        <w:rPr>
          <w:rFonts w:hint="eastAsia" w:asciiTheme="minorEastAsia" w:hAnsiTheme="minorEastAsia" w:eastAsiaTheme="minorEastAsia" w:cstheme="minorEastAsia"/>
          <w:sz w:val="32"/>
          <w:szCs w:val="22"/>
          <w:lang w:eastAsia="zh-CN"/>
        </w:rPr>
        <w:t>20</w:t>
      </w:r>
      <w:r>
        <w:rPr>
          <w:rFonts w:hint="eastAsia" w:ascii="仿宋_GB2312" w:hAnsi="仿宋_GB2312" w:eastAsia="仿宋_GB2312" w:cs="仿宋_GB2312"/>
          <w:sz w:val="32"/>
          <w:szCs w:val="22"/>
          <w:lang w:eastAsia="zh-CN"/>
        </w:rPr>
        <w:t>号）精神，我们制定了《福建省工伤预防五年行动计划（</w:t>
      </w:r>
      <w:r>
        <w:rPr>
          <w:rFonts w:hint="eastAsia" w:asciiTheme="minorEastAsia" w:hAnsiTheme="minorEastAsia" w:eastAsiaTheme="minorEastAsia" w:cstheme="minorEastAsia"/>
          <w:sz w:val="32"/>
          <w:szCs w:val="22"/>
          <w:lang w:eastAsia="zh-CN"/>
        </w:rPr>
        <w:t>2026</w:t>
      </w:r>
      <w:r>
        <w:rPr>
          <w:rFonts w:hint="eastAsia" w:ascii="仿宋_GB2312" w:hAnsi="仿宋_GB2312" w:eastAsia="仿宋_GB2312" w:cs="仿宋_GB2312"/>
          <w:sz w:val="32"/>
          <w:szCs w:val="22"/>
          <w:lang w:eastAsia="zh-CN"/>
        </w:rPr>
        <w:t>－</w:t>
      </w:r>
      <w:r>
        <w:rPr>
          <w:rFonts w:hint="eastAsia" w:asciiTheme="minorEastAsia" w:hAnsiTheme="minorEastAsia" w:eastAsiaTheme="minorEastAsia" w:cstheme="minorEastAsia"/>
          <w:sz w:val="32"/>
          <w:szCs w:val="22"/>
          <w:lang w:eastAsia="zh-CN"/>
        </w:rPr>
        <w:t>2030</w:t>
      </w:r>
      <w:r>
        <w:rPr>
          <w:rFonts w:hint="eastAsia" w:ascii="仿宋_GB2312" w:hAnsi="仿宋_GB2312" w:eastAsia="仿宋_GB2312" w:cs="仿宋_GB2312"/>
          <w:sz w:val="32"/>
          <w:szCs w:val="22"/>
          <w:lang w:eastAsia="zh-CN"/>
        </w:rPr>
        <w:t>年）实施方案》，现印发你们，请结合实际，认真贯彻落实。</w:t>
      </w:r>
    </w:p>
    <w:p w14:paraId="09F3C994">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各地人社部门要会同相关单位制定五年行动计划实施方案，</w:t>
      </w:r>
      <w:r>
        <w:rPr>
          <w:rFonts w:hint="eastAsia" w:asciiTheme="minorEastAsia" w:hAnsiTheme="minorEastAsia" w:eastAsiaTheme="minorEastAsia" w:cstheme="minorEastAsia"/>
          <w:sz w:val="32"/>
          <w:szCs w:val="22"/>
          <w:lang w:eastAsia="zh-CN"/>
        </w:rPr>
        <w:t>2026</w:t>
      </w:r>
      <w:r>
        <w:rPr>
          <w:rFonts w:hint="eastAsia" w:ascii="仿宋_GB2312" w:hAnsi="仿宋_GB2312" w:eastAsia="仿宋_GB2312" w:cs="仿宋_GB2312"/>
          <w:sz w:val="32"/>
          <w:szCs w:val="22"/>
          <w:lang w:eastAsia="zh-CN"/>
        </w:rPr>
        <w:t>年</w:t>
      </w:r>
      <w:r>
        <w:rPr>
          <w:rFonts w:hint="eastAsia" w:asciiTheme="minorEastAsia" w:hAnsiTheme="minorEastAsia" w:eastAsiaTheme="minorEastAsia" w:cstheme="minorEastAsia"/>
          <w:sz w:val="32"/>
          <w:szCs w:val="22"/>
          <w:lang w:eastAsia="zh-CN"/>
        </w:rPr>
        <w:t>9</w:t>
      </w:r>
      <w:r>
        <w:rPr>
          <w:rFonts w:hint="eastAsia" w:ascii="仿宋_GB2312" w:hAnsi="仿宋_GB2312" w:eastAsia="仿宋_GB2312" w:cs="仿宋_GB2312"/>
          <w:sz w:val="32"/>
          <w:szCs w:val="22"/>
          <w:lang w:eastAsia="zh-CN"/>
        </w:rPr>
        <w:t>月底前报省人社厅备案，每年</w:t>
      </w:r>
      <w:r>
        <w:rPr>
          <w:rFonts w:hint="eastAsia" w:asciiTheme="minorEastAsia" w:hAnsiTheme="minorEastAsia" w:eastAsiaTheme="minorEastAsia" w:cstheme="minorEastAsia"/>
          <w:sz w:val="32"/>
          <w:szCs w:val="22"/>
          <w:lang w:eastAsia="zh-CN"/>
        </w:rPr>
        <w:t>12</w:t>
      </w:r>
      <w:r>
        <w:rPr>
          <w:rFonts w:hint="eastAsia" w:ascii="仿宋_GB2312" w:hAnsi="仿宋_GB2312" w:eastAsia="仿宋_GB2312" w:cs="仿宋_GB2312"/>
          <w:sz w:val="32"/>
          <w:szCs w:val="22"/>
          <w:lang w:eastAsia="zh-CN"/>
        </w:rPr>
        <w:t>月底前将计划落实情况报省人社厅工伤保险处。</w:t>
      </w:r>
    </w:p>
    <w:p w14:paraId="4013EE8B">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61D96EC4">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11E54C44">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1868B869">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福建省人力资源和社会保障厅　　福建省工业和信息化厅</w:t>
      </w:r>
    </w:p>
    <w:p w14:paraId="226473B9">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45BDA3CE">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福建省财政厅　　　　　福建省住房和城乡建设厅</w:t>
      </w:r>
    </w:p>
    <w:p w14:paraId="650B50C7">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42FCD687">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745A9E0B">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3538CA09">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福建省交通运输厅　　　　福建省卫生健康委员会</w:t>
      </w:r>
    </w:p>
    <w:p w14:paraId="2A64E6BC">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224E12B9">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5C9AE6E0">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5B9CE714">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　　　</w:t>
      </w:r>
    </w:p>
    <w:p w14:paraId="4A81B0BE">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福建省应急管理厅　　　　福建省市场监督管理局</w:t>
      </w:r>
    </w:p>
    <w:p w14:paraId="24ECF397">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19923646">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51D8007F">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7F3B900F">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 xml:space="preserve">                            福建省总工会</w:t>
      </w:r>
    </w:p>
    <w:p w14:paraId="63DEF483">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　　　　　　　　　　　　　</w:t>
      </w:r>
      <w:r>
        <w:rPr>
          <w:rFonts w:hint="eastAsia" w:asciiTheme="minorEastAsia" w:hAnsiTheme="minorEastAsia" w:eastAsiaTheme="minorEastAsia" w:cstheme="minorEastAsia"/>
          <w:sz w:val="32"/>
          <w:szCs w:val="22"/>
          <w:lang w:eastAsia="zh-CN"/>
        </w:rPr>
        <w:t>2026</w:t>
      </w:r>
      <w:r>
        <w:rPr>
          <w:rFonts w:hint="eastAsia" w:ascii="仿宋_GB2312" w:hAnsi="仿宋_GB2312" w:eastAsia="仿宋_GB2312" w:cs="仿宋_GB2312"/>
          <w:sz w:val="32"/>
          <w:szCs w:val="22"/>
          <w:lang w:eastAsia="zh-CN"/>
        </w:rPr>
        <w:t>年</w:t>
      </w:r>
      <w:r>
        <w:rPr>
          <w:rFonts w:hint="eastAsia" w:asciiTheme="minorEastAsia" w:hAnsiTheme="minorEastAsia" w:eastAsiaTheme="minorEastAsia" w:cstheme="minorEastAsia"/>
          <w:sz w:val="32"/>
          <w:szCs w:val="22"/>
          <w:lang w:eastAsia="zh-CN"/>
        </w:rPr>
        <w:t>7</w:t>
      </w:r>
      <w:r>
        <w:rPr>
          <w:rFonts w:hint="eastAsia" w:ascii="仿宋_GB2312" w:hAnsi="仿宋_GB2312" w:eastAsia="仿宋_GB2312" w:cs="仿宋_GB2312"/>
          <w:sz w:val="32"/>
          <w:szCs w:val="22"/>
          <w:lang w:eastAsia="zh-CN"/>
        </w:rPr>
        <w:t>月</w:t>
      </w:r>
      <w:r>
        <w:rPr>
          <w:rFonts w:hint="eastAsia" w:asciiTheme="minorEastAsia" w:hAnsiTheme="minorEastAsia" w:eastAsiaTheme="minorEastAsia" w:cstheme="minorEastAsia"/>
          <w:sz w:val="32"/>
          <w:szCs w:val="22"/>
          <w:lang w:eastAsia="zh-CN"/>
        </w:rPr>
        <w:t>24</w:t>
      </w:r>
      <w:r>
        <w:rPr>
          <w:rFonts w:hint="eastAsia" w:ascii="仿宋_GB2312" w:hAnsi="仿宋_GB2312" w:eastAsia="仿宋_GB2312" w:cs="仿宋_GB2312"/>
          <w:sz w:val="32"/>
          <w:szCs w:val="22"/>
          <w:lang w:eastAsia="zh-CN"/>
        </w:rPr>
        <w:t>日</w:t>
      </w:r>
    </w:p>
    <w:p w14:paraId="5CF51A8D">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p>
    <w:p w14:paraId="71A95CAC">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（此件主动公开）</w:t>
      </w:r>
    </w:p>
    <w:p w14:paraId="3EB65D63">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sz w:val="32"/>
          <w:szCs w:val="22"/>
          <w:lang w:eastAsia="zh-CN"/>
        </w:rPr>
        <w:sectPr>
          <w:pgSz w:w="11906" w:h="16838"/>
          <w:pgMar w:top="2098" w:right="1531" w:bottom="1985" w:left="1531" w:header="851" w:footer="1588" w:gutter="0"/>
          <w:pgNumType w:fmt="numberInDash"/>
          <w:cols w:space="425" w:num="1"/>
          <w:docGrid w:type="linesAndChars" w:linePitch="579" w:charSpace="-849"/>
        </w:sectPr>
      </w:pPr>
    </w:p>
    <w:p w14:paraId="756C5C1A">
      <w:pPr>
        <w:keepNext w:val="0"/>
        <w:keepLines w:val="0"/>
        <w:pageBreakBefore w:val="0"/>
        <w:widowControl w:val="0"/>
        <w:kinsoku/>
        <w:wordWrap/>
        <w:overflowPunct/>
        <w:topLinePunct w:val="0"/>
        <w:autoSpaceDE/>
        <w:autoSpaceDN/>
        <w:bidi w:val="0"/>
        <w:adjustRightInd/>
        <w:snapToGrid/>
        <w:spacing w:line="530" w:lineRule="exact"/>
        <w:ind w:right="0" w:rightChars="0"/>
        <w:jc w:val="center"/>
        <w:textAlignment w:val="auto"/>
        <w:rPr>
          <w:rFonts w:hint="eastAsia" w:ascii="方正小标宋简体" w:hAnsi="方正小标宋简体" w:eastAsia="方正小标宋简体" w:cs="方正小标宋简体"/>
          <w:sz w:val="44"/>
          <w:szCs w:val="32"/>
          <w:lang w:eastAsia="zh-CN"/>
        </w:rPr>
      </w:pPr>
      <w:r>
        <w:rPr>
          <w:rFonts w:hint="eastAsia" w:ascii="方正小标宋简体" w:hAnsi="方正小标宋简体" w:eastAsia="方正小标宋简体" w:cs="方正小标宋简体"/>
          <w:sz w:val="44"/>
          <w:szCs w:val="32"/>
          <w:lang w:eastAsia="zh-CN"/>
        </w:rPr>
        <w:t>福建省工伤预防五年行动计划</w:t>
      </w:r>
    </w:p>
    <w:p w14:paraId="2802631F">
      <w:pPr>
        <w:keepNext w:val="0"/>
        <w:keepLines w:val="0"/>
        <w:pageBreakBefore w:val="0"/>
        <w:widowControl w:val="0"/>
        <w:kinsoku/>
        <w:wordWrap/>
        <w:overflowPunct/>
        <w:topLinePunct w:val="0"/>
        <w:autoSpaceDE/>
        <w:autoSpaceDN/>
        <w:bidi w:val="0"/>
        <w:adjustRightInd/>
        <w:snapToGrid/>
        <w:spacing w:line="530" w:lineRule="exact"/>
        <w:ind w:right="0" w:rightChars="0"/>
        <w:jc w:val="center"/>
        <w:textAlignment w:val="auto"/>
        <w:rPr>
          <w:rFonts w:hint="eastAsia" w:ascii="方正小标宋简体" w:hAnsi="方正小标宋简体" w:eastAsia="方正小标宋简体" w:cs="方正小标宋简体"/>
          <w:sz w:val="44"/>
          <w:szCs w:val="32"/>
          <w:lang w:eastAsia="zh-CN"/>
        </w:rPr>
      </w:pPr>
      <w:r>
        <w:rPr>
          <w:rFonts w:hint="eastAsia" w:ascii="方正小标宋简体" w:hAnsi="方正小标宋简体" w:eastAsia="方正小标宋简体" w:cs="方正小标宋简体"/>
          <w:sz w:val="44"/>
          <w:szCs w:val="32"/>
          <w:lang w:eastAsia="zh-CN"/>
        </w:rPr>
        <w:t>（</w:t>
      </w:r>
      <w:r>
        <w:rPr>
          <w:rFonts w:hint="eastAsia" w:asciiTheme="minorEastAsia" w:hAnsiTheme="minorEastAsia" w:eastAsiaTheme="minorEastAsia" w:cstheme="minorEastAsia"/>
          <w:sz w:val="44"/>
          <w:szCs w:val="32"/>
          <w:lang w:eastAsia="zh-CN"/>
        </w:rPr>
        <w:t>2026</w:t>
      </w:r>
      <w:r>
        <w:rPr>
          <w:rFonts w:hint="eastAsia" w:ascii="方正小标宋简体" w:hAnsi="方正小标宋简体" w:eastAsia="方正小标宋简体" w:cs="方正小标宋简体"/>
          <w:sz w:val="44"/>
          <w:szCs w:val="32"/>
          <w:lang w:eastAsia="zh-CN"/>
        </w:rPr>
        <w:t>－</w:t>
      </w:r>
      <w:r>
        <w:rPr>
          <w:rFonts w:hint="eastAsia" w:asciiTheme="minorEastAsia" w:hAnsiTheme="minorEastAsia" w:eastAsiaTheme="minorEastAsia" w:cstheme="minorEastAsia"/>
          <w:sz w:val="44"/>
          <w:szCs w:val="32"/>
          <w:lang w:eastAsia="zh-CN"/>
        </w:rPr>
        <w:t>2030</w:t>
      </w:r>
      <w:r>
        <w:rPr>
          <w:rFonts w:hint="eastAsia" w:ascii="方正小标宋简体" w:hAnsi="方正小标宋简体" w:eastAsia="方正小标宋简体" w:cs="方正小标宋简体"/>
          <w:sz w:val="44"/>
          <w:szCs w:val="32"/>
          <w:lang w:eastAsia="zh-CN"/>
        </w:rPr>
        <w:t>年）实施方案</w:t>
      </w:r>
    </w:p>
    <w:p w14:paraId="723DCC85">
      <w:pPr>
        <w:keepNext w:val="0"/>
        <w:keepLines w:val="0"/>
        <w:pageBreakBefore w:val="0"/>
        <w:widowControl w:val="0"/>
        <w:kinsoku/>
        <w:wordWrap/>
        <w:overflowPunct/>
        <w:topLinePunct w:val="0"/>
        <w:autoSpaceDE/>
        <w:autoSpaceDN/>
        <w:bidi w:val="0"/>
        <w:adjustRightInd/>
        <w:snapToGrid/>
        <w:spacing w:line="530" w:lineRule="exact"/>
        <w:ind w:right="0" w:rightChars="0"/>
        <w:textAlignment w:val="auto"/>
        <w:rPr>
          <w:rFonts w:hint="eastAsia" w:ascii="仿宋_GB2312" w:hAnsi="仿宋_GB2312" w:eastAsia="仿宋_GB2312" w:cs="仿宋_GB2312"/>
          <w:sz w:val="32"/>
          <w:szCs w:val="22"/>
          <w:lang w:eastAsia="zh-CN"/>
        </w:rPr>
      </w:pPr>
    </w:p>
    <w:p w14:paraId="17C63A7B">
      <w:pPr>
        <w:keepNext w:val="0"/>
        <w:keepLines w:val="0"/>
        <w:pageBreakBefore w:val="0"/>
        <w:widowControl w:val="0"/>
        <w:kinsoku/>
        <w:wordWrap/>
        <w:overflowPunct/>
        <w:topLinePunct w:val="0"/>
        <w:autoSpaceDE/>
        <w:autoSpaceDN/>
        <w:bidi w:val="0"/>
        <w:adjustRightInd/>
        <w:snapToGrid/>
        <w:spacing w:line="53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为深入贯彻落实人力资源社会保障部等九部门《关于印发工伤预防五年行动计划（</w:t>
      </w:r>
      <w:r>
        <w:rPr>
          <w:rFonts w:hint="eastAsia" w:asciiTheme="minorEastAsia" w:hAnsiTheme="minorEastAsia" w:eastAsiaTheme="minorEastAsia" w:cstheme="minorEastAsia"/>
          <w:sz w:val="32"/>
          <w:szCs w:val="22"/>
          <w:lang w:eastAsia="zh-CN"/>
        </w:rPr>
        <w:t>2026</w:t>
      </w:r>
      <w:r>
        <w:rPr>
          <w:rFonts w:hint="eastAsia" w:ascii="仿宋_GB2312" w:hAnsi="仿宋_GB2312" w:eastAsia="仿宋_GB2312" w:cs="仿宋_GB2312"/>
          <w:sz w:val="32"/>
          <w:szCs w:val="22"/>
          <w:lang w:eastAsia="zh-CN"/>
        </w:rPr>
        <w:t>－</w:t>
      </w:r>
      <w:r>
        <w:rPr>
          <w:rFonts w:hint="eastAsia" w:asciiTheme="minorEastAsia" w:hAnsiTheme="minorEastAsia" w:eastAsiaTheme="minorEastAsia" w:cstheme="minorEastAsia"/>
          <w:sz w:val="32"/>
          <w:szCs w:val="22"/>
          <w:lang w:eastAsia="zh-CN"/>
        </w:rPr>
        <w:t>2030</w:t>
      </w:r>
      <w:r>
        <w:rPr>
          <w:rFonts w:hint="eastAsia" w:ascii="仿宋_GB2312" w:hAnsi="仿宋_GB2312" w:eastAsia="仿宋_GB2312" w:cs="仿宋_GB2312"/>
          <w:sz w:val="32"/>
          <w:szCs w:val="22"/>
          <w:lang w:eastAsia="zh-CN"/>
        </w:rPr>
        <w:t>年）的通知》（人社部发〔</w:t>
      </w:r>
      <w:r>
        <w:rPr>
          <w:rFonts w:hint="eastAsia" w:asciiTheme="minorEastAsia" w:hAnsiTheme="minorEastAsia" w:eastAsiaTheme="minorEastAsia" w:cstheme="minorEastAsia"/>
          <w:sz w:val="32"/>
          <w:szCs w:val="22"/>
          <w:lang w:eastAsia="zh-CN"/>
        </w:rPr>
        <w:t>2026</w:t>
      </w:r>
      <w:r>
        <w:rPr>
          <w:rFonts w:hint="eastAsia" w:ascii="仿宋_GB2312" w:hAnsi="仿宋_GB2312" w:eastAsia="仿宋_GB2312" w:cs="仿宋_GB2312"/>
          <w:sz w:val="32"/>
          <w:szCs w:val="22"/>
          <w:lang w:eastAsia="zh-CN"/>
        </w:rPr>
        <w:t>〕</w:t>
      </w:r>
      <w:r>
        <w:rPr>
          <w:rFonts w:hint="eastAsia" w:asciiTheme="minorEastAsia" w:hAnsiTheme="minorEastAsia" w:eastAsiaTheme="minorEastAsia" w:cstheme="minorEastAsia"/>
          <w:sz w:val="32"/>
          <w:szCs w:val="22"/>
          <w:lang w:eastAsia="zh-CN"/>
        </w:rPr>
        <w:t>20</w:t>
      </w:r>
      <w:r>
        <w:rPr>
          <w:rFonts w:hint="eastAsia" w:ascii="仿宋_GB2312" w:hAnsi="仿宋_GB2312" w:eastAsia="仿宋_GB2312" w:cs="仿宋_GB2312"/>
          <w:sz w:val="32"/>
          <w:szCs w:val="22"/>
          <w:lang w:eastAsia="zh-CN"/>
        </w:rPr>
        <w:t>号），切实做好“十五五”时期工伤预防工作，更好地发挥工伤保险积极功能，服务福建全方位推动高质量发展超越和两岸融合发展示范区建设，在总结上一个工伤预防五年行动计划的基础上，结合我省实际，制订本实施方案。</w:t>
      </w:r>
    </w:p>
    <w:p w14:paraId="0AAB3D94">
      <w:pPr>
        <w:keepNext w:val="0"/>
        <w:keepLines w:val="0"/>
        <w:pageBreakBefore w:val="0"/>
        <w:widowControl w:val="0"/>
        <w:kinsoku/>
        <w:wordWrap/>
        <w:overflowPunct/>
        <w:topLinePunct w:val="0"/>
        <w:autoSpaceDE/>
        <w:autoSpaceDN/>
        <w:bidi w:val="0"/>
        <w:adjustRightInd/>
        <w:snapToGrid/>
        <w:spacing w:line="530" w:lineRule="exact"/>
        <w:ind w:right="0" w:rightChars="0" w:firstLine="632" w:firstLineChars="200"/>
        <w:textAlignment w:val="auto"/>
        <w:rPr>
          <w:rFonts w:hint="eastAsia" w:ascii="黑体" w:hAnsi="黑体" w:eastAsia="黑体" w:cs="黑体"/>
          <w:sz w:val="32"/>
          <w:szCs w:val="22"/>
          <w:lang w:eastAsia="zh-CN"/>
        </w:rPr>
      </w:pPr>
      <w:r>
        <w:rPr>
          <w:rFonts w:hint="eastAsia" w:ascii="黑体" w:hAnsi="黑体" w:eastAsia="黑体" w:cs="黑体"/>
          <w:sz w:val="32"/>
          <w:szCs w:val="22"/>
          <w:lang w:eastAsia="zh-CN"/>
        </w:rPr>
        <w:t>一、工作要求</w:t>
      </w:r>
    </w:p>
    <w:p w14:paraId="6A94109C">
      <w:pPr>
        <w:keepNext w:val="0"/>
        <w:keepLines w:val="0"/>
        <w:pageBreakBefore w:val="0"/>
        <w:widowControl w:val="0"/>
        <w:kinsoku/>
        <w:wordWrap/>
        <w:overflowPunct/>
        <w:topLinePunct w:val="0"/>
        <w:autoSpaceDE/>
        <w:autoSpaceDN/>
        <w:bidi w:val="0"/>
        <w:adjustRightInd/>
        <w:snapToGrid/>
        <w:spacing w:line="53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以习近平新时代中国特色社会主义思想为指导，全面贯彻党的二十大、二十届历次全会和省委十一届九次全会精神，坚持以人民为中心的发展思想，适应推进国家治理体系和治理能力现代化要求，完善“预防、补偿、康复”三位一体工伤保险制度体系，把工伤预防作为工伤保险优先事项，树牢预防优先理念，不断提升工伤预防意识和能力，从源头上降低工伤事故和职业病风险，从根本上保护职工生命安全和身体健康，促进劳动者实现高质量充分就业，为我省“十五五”经济社会高质量发展提供安全保障。</w:t>
      </w:r>
    </w:p>
    <w:p w14:paraId="761B82D2">
      <w:pPr>
        <w:keepNext w:val="0"/>
        <w:keepLines w:val="0"/>
        <w:pageBreakBefore w:val="0"/>
        <w:widowControl w:val="0"/>
        <w:kinsoku/>
        <w:wordWrap/>
        <w:overflowPunct/>
        <w:topLinePunct w:val="0"/>
        <w:autoSpaceDE/>
        <w:autoSpaceDN/>
        <w:bidi w:val="0"/>
        <w:adjustRightInd/>
        <w:snapToGrid/>
        <w:spacing w:line="530" w:lineRule="exact"/>
        <w:ind w:right="0" w:rightChars="0" w:firstLine="632" w:firstLineChars="200"/>
        <w:textAlignment w:val="auto"/>
        <w:rPr>
          <w:rFonts w:hint="eastAsia" w:ascii="黑体" w:hAnsi="黑体" w:eastAsia="黑体" w:cs="黑体"/>
          <w:sz w:val="32"/>
          <w:szCs w:val="22"/>
          <w:lang w:eastAsia="zh-CN"/>
        </w:rPr>
      </w:pPr>
      <w:r>
        <w:rPr>
          <w:rFonts w:hint="eastAsia" w:ascii="黑体" w:hAnsi="黑体" w:eastAsia="黑体" w:cs="黑体"/>
          <w:sz w:val="32"/>
          <w:szCs w:val="22"/>
          <w:lang w:eastAsia="zh-CN"/>
        </w:rPr>
        <w:t>二、工作目标</w:t>
      </w:r>
    </w:p>
    <w:p w14:paraId="0D9CF101">
      <w:pPr>
        <w:keepNext w:val="0"/>
        <w:keepLines w:val="0"/>
        <w:pageBreakBefore w:val="0"/>
        <w:widowControl w:val="0"/>
        <w:kinsoku/>
        <w:wordWrap/>
        <w:overflowPunct/>
        <w:topLinePunct w:val="0"/>
        <w:autoSpaceDE/>
        <w:autoSpaceDN/>
        <w:bidi w:val="0"/>
        <w:adjustRightInd/>
        <w:snapToGrid/>
        <w:spacing w:line="53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——工伤事故发生率持续下降，重点行业</w:t>
      </w:r>
      <w:r>
        <w:rPr>
          <w:rFonts w:hint="eastAsia" w:asciiTheme="minorEastAsia" w:hAnsiTheme="minorEastAsia" w:eastAsiaTheme="minorEastAsia" w:cstheme="minorEastAsia"/>
          <w:sz w:val="32"/>
          <w:szCs w:val="22"/>
          <w:lang w:eastAsia="zh-CN"/>
        </w:rPr>
        <w:t>5</w:t>
      </w:r>
      <w:r>
        <w:rPr>
          <w:rFonts w:hint="eastAsia" w:ascii="仿宋_GB2312" w:hAnsi="仿宋_GB2312" w:eastAsia="仿宋_GB2312" w:cs="仿宋_GB2312"/>
          <w:sz w:val="32"/>
          <w:szCs w:val="22"/>
          <w:lang w:eastAsia="zh-CN"/>
        </w:rPr>
        <w:t>年降低</w:t>
      </w:r>
      <w:r>
        <w:rPr>
          <w:rFonts w:hint="eastAsia" w:asciiTheme="minorEastAsia" w:hAnsiTheme="minorEastAsia" w:eastAsiaTheme="minorEastAsia" w:cstheme="minorEastAsia"/>
          <w:sz w:val="32"/>
          <w:szCs w:val="22"/>
          <w:lang w:eastAsia="zh-CN"/>
        </w:rPr>
        <w:t>10</w:t>
      </w:r>
      <w:r>
        <w:rPr>
          <w:rFonts w:hint="eastAsia" w:ascii="仿宋_GB2312" w:hAnsi="仿宋_GB2312" w:eastAsia="仿宋_GB2312" w:cs="仿宋_GB2312"/>
          <w:sz w:val="32"/>
          <w:szCs w:val="22"/>
          <w:lang w:eastAsia="zh-CN"/>
        </w:rPr>
        <w:t>％左右；</w:t>
      </w:r>
    </w:p>
    <w:p w14:paraId="20F0126B">
      <w:pPr>
        <w:keepNext w:val="0"/>
        <w:keepLines w:val="0"/>
        <w:pageBreakBefore w:val="0"/>
        <w:widowControl w:val="0"/>
        <w:kinsoku/>
        <w:wordWrap/>
        <w:overflowPunct/>
        <w:topLinePunct w:val="0"/>
        <w:autoSpaceDE/>
        <w:autoSpaceDN/>
        <w:bidi w:val="0"/>
        <w:adjustRightInd/>
        <w:snapToGrid/>
        <w:spacing w:line="53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——新就业形态人员职业伤害发生率逐步降低，重点平台企业</w:t>
      </w:r>
      <w:r>
        <w:rPr>
          <w:rFonts w:hint="eastAsia" w:asciiTheme="minorEastAsia" w:hAnsiTheme="minorEastAsia" w:eastAsiaTheme="minorEastAsia" w:cstheme="minorEastAsia"/>
          <w:sz w:val="32"/>
          <w:szCs w:val="22"/>
          <w:lang w:eastAsia="zh-CN"/>
        </w:rPr>
        <w:t>5</w:t>
      </w:r>
      <w:r>
        <w:rPr>
          <w:rFonts w:hint="eastAsia" w:ascii="仿宋_GB2312" w:hAnsi="仿宋_GB2312" w:eastAsia="仿宋_GB2312" w:cs="仿宋_GB2312"/>
          <w:sz w:val="32"/>
          <w:szCs w:val="22"/>
          <w:lang w:eastAsia="zh-CN"/>
        </w:rPr>
        <w:t>年降低</w:t>
      </w:r>
      <w:r>
        <w:rPr>
          <w:rFonts w:hint="eastAsia" w:asciiTheme="minorEastAsia" w:hAnsiTheme="minorEastAsia" w:eastAsiaTheme="minorEastAsia" w:cstheme="minorEastAsia"/>
          <w:sz w:val="32"/>
          <w:szCs w:val="22"/>
          <w:lang w:eastAsia="zh-CN"/>
        </w:rPr>
        <w:t>10</w:t>
      </w:r>
      <w:r>
        <w:rPr>
          <w:rFonts w:hint="eastAsia" w:ascii="仿宋_GB2312" w:hAnsi="仿宋_GB2312" w:eastAsia="仿宋_GB2312" w:cs="仿宋_GB2312"/>
          <w:sz w:val="32"/>
          <w:szCs w:val="22"/>
          <w:lang w:eastAsia="zh-CN"/>
        </w:rPr>
        <w:t>％以上；</w:t>
      </w:r>
    </w:p>
    <w:p w14:paraId="29AAA926">
      <w:pPr>
        <w:keepNext w:val="0"/>
        <w:keepLines w:val="0"/>
        <w:pageBreakBefore w:val="0"/>
        <w:widowControl w:val="0"/>
        <w:kinsoku/>
        <w:wordWrap/>
        <w:overflowPunct/>
        <w:topLinePunct w:val="0"/>
        <w:autoSpaceDE/>
        <w:autoSpaceDN/>
        <w:bidi w:val="0"/>
        <w:adjustRightInd/>
        <w:snapToGrid/>
        <w:spacing w:line="53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——工作场所劳动条件持续改善，职业性尘肺病等重点职业病发病人数明显下降。</w:t>
      </w:r>
    </w:p>
    <w:p w14:paraId="1B9FCFE8">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黑体" w:hAnsi="黑体" w:eastAsia="黑体" w:cs="黑体"/>
          <w:sz w:val="32"/>
          <w:szCs w:val="22"/>
          <w:lang w:eastAsia="zh-CN"/>
        </w:rPr>
      </w:pPr>
      <w:r>
        <w:rPr>
          <w:rFonts w:hint="eastAsia" w:ascii="黑体" w:hAnsi="黑体" w:eastAsia="黑体" w:cs="黑体"/>
          <w:sz w:val="32"/>
          <w:szCs w:val="22"/>
          <w:lang w:eastAsia="zh-CN"/>
        </w:rPr>
        <w:t>三、主要任务</w:t>
      </w:r>
    </w:p>
    <w:p w14:paraId="59B4C493">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（一）健全工伤预防联防联控机制</w:t>
      </w:r>
    </w:p>
    <w:p w14:paraId="43CE6A2B">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Theme="minorEastAsia" w:hAnsiTheme="minorEastAsia" w:eastAsiaTheme="minorEastAsia" w:cstheme="minorEastAsia"/>
          <w:b/>
          <w:bCs/>
          <w:sz w:val="32"/>
          <w:szCs w:val="22"/>
          <w:lang w:eastAsia="zh-CN"/>
        </w:rPr>
        <w:t>1</w:t>
      </w:r>
      <w:r>
        <w:rPr>
          <w:rFonts w:hint="eastAsia" w:ascii="仿宋_GB2312" w:hAnsi="仿宋_GB2312" w:eastAsia="仿宋_GB2312" w:cs="仿宋_GB2312"/>
          <w:b/>
          <w:bCs/>
          <w:sz w:val="32"/>
          <w:szCs w:val="22"/>
          <w:lang w:eastAsia="zh-CN"/>
        </w:rPr>
        <w:t>.夯实联席会议制度机制。</w:t>
      </w:r>
      <w:r>
        <w:rPr>
          <w:rFonts w:hint="eastAsia" w:ascii="仿宋_GB2312" w:hAnsi="仿宋_GB2312" w:eastAsia="仿宋_GB2312" w:cs="仿宋_GB2312"/>
          <w:sz w:val="32"/>
          <w:szCs w:val="22"/>
          <w:lang w:eastAsia="zh-CN"/>
        </w:rPr>
        <w:t>各地人社部门要与财政、应急管理、卫健、工会及工信、住建、交通运输、市场监管等行业主管部门，健全完善联席会议制度，定期研究工伤预防重点工作，明确职责分工，强化协调联动。联席会议各成员单位应通过联合检查、专项督查等方式，督促用人单位认真落实工伤预防主体责任，形成齐抓共管的工作格局。</w:t>
      </w:r>
    </w:p>
    <w:p w14:paraId="05A103E4">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Theme="minorEastAsia" w:hAnsiTheme="minorEastAsia" w:eastAsiaTheme="minorEastAsia" w:cstheme="minorEastAsia"/>
          <w:b/>
          <w:bCs/>
          <w:sz w:val="32"/>
          <w:szCs w:val="22"/>
          <w:lang w:eastAsia="zh-CN"/>
        </w:rPr>
        <w:t>2</w:t>
      </w:r>
      <w:r>
        <w:rPr>
          <w:rFonts w:hint="eastAsia" w:ascii="仿宋_GB2312" w:hAnsi="仿宋_GB2312" w:eastAsia="仿宋_GB2312" w:cs="仿宋_GB2312"/>
          <w:b/>
          <w:bCs/>
          <w:sz w:val="32"/>
          <w:szCs w:val="22"/>
          <w:lang w:eastAsia="zh-CN"/>
        </w:rPr>
        <w:t>.建立完善跨部门信息数据共享机制。</w:t>
      </w:r>
      <w:r>
        <w:rPr>
          <w:rFonts w:hint="eastAsia" w:ascii="仿宋_GB2312" w:hAnsi="仿宋_GB2312" w:eastAsia="仿宋_GB2312" w:cs="仿宋_GB2312"/>
          <w:sz w:val="32"/>
          <w:szCs w:val="22"/>
          <w:lang w:eastAsia="zh-CN"/>
        </w:rPr>
        <w:t>实现人员信息、事故信息、职业病信息和工伤信息等相关数据实时或定期共享，确保各成员单位及时全面掌握用人单位工伤事故、安全生产、职业病危害防治以及职业伤害发生的类型、高发岗位、高发人群、基金支出等情况。</w:t>
      </w:r>
    </w:p>
    <w:p w14:paraId="54590A3A">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Theme="minorEastAsia" w:hAnsiTheme="minorEastAsia" w:eastAsiaTheme="minorEastAsia" w:cstheme="minorEastAsia"/>
          <w:b/>
          <w:bCs/>
          <w:sz w:val="32"/>
          <w:szCs w:val="22"/>
          <w:lang w:eastAsia="zh-CN"/>
        </w:rPr>
        <w:t>3</w:t>
      </w:r>
      <w:r>
        <w:rPr>
          <w:rFonts w:hint="eastAsia" w:ascii="仿宋_GB2312" w:hAnsi="仿宋_GB2312" w:eastAsia="仿宋_GB2312" w:cs="仿宋_GB2312"/>
          <w:b/>
          <w:bCs/>
          <w:sz w:val="32"/>
          <w:szCs w:val="22"/>
          <w:lang w:eastAsia="zh-CN"/>
        </w:rPr>
        <w:t>.强化协同治理与效能监督。</w:t>
      </w:r>
      <w:r>
        <w:rPr>
          <w:rFonts w:hint="eastAsia" w:ascii="仿宋_GB2312" w:hAnsi="仿宋_GB2312" w:eastAsia="仿宋_GB2312" w:cs="仿宋_GB2312"/>
          <w:sz w:val="32"/>
          <w:szCs w:val="22"/>
          <w:lang w:eastAsia="zh-CN"/>
        </w:rPr>
        <w:t>发挥各成员单位职能优势，对各类安全隐患、工伤事故苗头性问题和职业病危害因素超标现象，综合运用法律、行政、经济手段开展重点治理，提出限期整改意见。对未按规定落实主体责任、未及时整改的用人单位及其主要负责人，相关部门应依据安全生产法和职业病防治法严肃处理；对未依法参加工伤保险及工伤事故多发的企业实施重点监控。对具有代表性或典型性的工伤事故，相关部门要在全省范围或行业领域内采取警示、通报等措施，以案促改，推动同类问题整改，避免类似事故重复发生。建立治理效果跟踪评价机制，将整改落实情况纳入部门年度工作评价。</w:t>
      </w:r>
    </w:p>
    <w:p w14:paraId="32D439F0">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（二）强化落实用人单位主体责任</w:t>
      </w:r>
    </w:p>
    <w:p w14:paraId="21441E19">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各有关部门要督促用人单位牢固树立工伤预防优先理念，严格遵守社会保险、安全生产、职业健康等法律法规，依法参加工伤保险，主动做好工伤预防工作，加大工伤预防投入，加强工伤预防教育培训，定期开展隐患排查治理，切实履行工伤预防主体责任。要按照安全生产“三管三必须”要求，压紧压实用人单位主体责任，对未按规定落实主体责任的用人单位及其主要负责人，相关部门应依法严肃处理。</w:t>
      </w:r>
    </w:p>
    <w:p w14:paraId="2F7C8DD4">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（三）积极发挥行业协会、大中型企业作用</w:t>
      </w:r>
    </w:p>
    <w:p w14:paraId="15B64DB9">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支持有条件、有能力、有意愿的行业协会、大中型企业及第三方专业技术服务机构开展工伤预防工作，鼓励大中型企业发挥示范作用，带领同行业中小微企业开展工伤预防工作，第三方专业技术服务机构参与的工伤预防项目要充分发挥专业化技术服务水平。各地人社部门要会同行业主管部门探索建立行业协会、大中型企业及第三方专业技术服务机构清单，编制有关项目申报指引，规范项目申报、实施、评估问效机制，加强监督管理，切实发挥行业协会、大中型企业及第三方专业技术服务机构的作用。</w:t>
      </w:r>
    </w:p>
    <w:p w14:paraId="7AAAB29D">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（四）瞄住盯紧工伤预防重点行业</w:t>
      </w:r>
    </w:p>
    <w:p w14:paraId="0A0EB3FB">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Theme="minorEastAsia" w:hAnsiTheme="minorEastAsia" w:eastAsiaTheme="minorEastAsia" w:cstheme="minorEastAsia"/>
          <w:b/>
          <w:bCs/>
          <w:sz w:val="32"/>
          <w:szCs w:val="22"/>
          <w:lang w:eastAsia="zh-CN"/>
        </w:rPr>
        <w:t>1</w:t>
      </w:r>
      <w:r>
        <w:rPr>
          <w:rFonts w:hint="eastAsia" w:ascii="仿宋_GB2312" w:hAnsi="仿宋_GB2312" w:eastAsia="仿宋_GB2312" w:cs="仿宋_GB2312"/>
          <w:b/>
          <w:bCs/>
          <w:sz w:val="32"/>
          <w:szCs w:val="22"/>
          <w:lang w:eastAsia="zh-CN"/>
        </w:rPr>
        <w:t>.科学确定工伤预防重点领域和重点项目。</w:t>
      </w:r>
      <w:r>
        <w:rPr>
          <w:rFonts w:hint="eastAsia" w:ascii="仿宋_GB2312" w:hAnsi="仿宋_GB2312" w:eastAsia="仿宋_GB2312" w:cs="仿宋_GB2312"/>
          <w:sz w:val="32"/>
          <w:szCs w:val="22"/>
          <w:lang w:eastAsia="zh-CN"/>
        </w:rPr>
        <w:t>各地要在建立完善工伤事故和职业病监测统计基础上，由人社部门会同财政、卫健、应急管理等部门，加强对工伤预防相关数据的分析，研究确定工伤预防重点领域，依法确定重点项目。本期计划主要围绕危险化学品、矿山、建筑施工、交通运输、机械制造、即时配送等重点行业企业开展，同时重点关注上下班交通事故伤害、突发疾病死亡视同工伤等情形。各地要结合本地区产业结构、事故分布和职业病危害特征，明确本地区重点行业、重点领域，列出清单，建立台账，有针对性开展工作。</w:t>
      </w:r>
    </w:p>
    <w:p w14:paraId="0EB577F3">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Theme="minorEastAsia" w:hAnsiTheme="minorEastAsia" w:eastAsiaTheme="minorEastAsia" w:cstheme="minorEastAsia"/>
          <w:b/>
          <w:bCs/>
          <w:sz w:val="32"/>
          <w:szCs w:val="22"/>
          <w:lang w:eastAsia="zh-CN"/>
        </w:rPr>
        <w:t>2</w:t>
      </w:r>
      <w:r>
        <w:rPr>
          <w:rFonts w:hint="eastAsia" w:ascii="仿宋_GB2312" w:hAnsi="仿宋_GB2312" w:eastAsia="仿宋_GB2312" w:cs="仿宋_GB2312"/>
          <w:b/>
          <w:bCs/>
          <w:sz w:val="32"/>
          <w:szCs w:val="22"/>
          <w:lang w:eastAsia="zh-CN"/>
        </w:rPr>
        <w:t>.规范推进工伤预防项目的实施。</w:t>
      </w:r>
      <w:r>
        <w:rPr>
          <w:rFonts w:hint="eastAsia" w:ascii="仿宋_GB2312" w:hAnsi="仿宋_GB2312" w:eastAsia="仿宋_GB2312" w:cs="仿宋_GB2312"/>
          <w:sz w:val="32"/>
          <w:szCs w:val="22"/>
          <w:lang w:eastAsia="zh-CN"/>
        </w:rPr>
        <w:t>按照《福建省工伤预防费使用管理实施办法（试行）》，规范工伤预防费的使用和管理，完善项目申报、评审、实施、评估全流程闭环管理，持续推进工伤预防项目实施。建立项目实施效果跟踪评估机制，将事故发生率下降幅度、隐患整改率、培训覆盖率等指标纳入项目验收标准，促进用人单位做好工伤预防工作，切实降低工伤事故伤害和职业病的发生率，确保工伤预防项目取得实效。</w:t>
      </w:r>
    </w:p>
    <w:p w14:paraId="1EF2FD6D">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（五）全面加强工伤预防宣传</w:t>
      </w:r>
    </w:p>
    <w:p w14:paraId="50EBEA03">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各地要针对列入</w:t>
      </w:r>
      <w:r>
        <w:rPr>
          <w:rFonts w:hint="eastAsia" w:asciiTheme="minorEastAsia" w:hAnsiTheme="minorEastAsia" w:eastAsiaTheme="minorEastAsia" w:cstheme="minorEastAsia"/>
          <w:sz w:val="32"/>
          <w:szCs w:val="22"/>
          <w:lang w:eastAsia="zh-CN"/>
        </w:rPr>
        <w:t>2026</w:t>
      </w:r>
      <w:r>
        <w:rPr>
          <w:rFonts w:hint="eastAsia" w:ascii="仿宋_GB2312" w:hAnsi="仿宋_GB2312" w:eastAsia="仿宋_GB2312" w:cs="仿宋_GB2312"/>
          <w:sz w:val="32"/>
          <w:szCs w:val="22"/>
          <w:lang w:eastAsia="zh-CN"/>
        </w:rPr>
        <w:t>-</w:t>
      </w:r>
      <w:r>
        <w:rPr>
          <w:rFonts w:hint="eastAsia" w:asciiTheme="minorEastAsia" w:hAnsiTheme="minorEastAsia" w:eastAsiaTheme="minorEastAsia" w:cstheme="minorEastAsia"/>
          <w:sz w:val="32"/>
          <w:szCs w:val="22"/>
          <w:lang w:eastAsia="zh-CN"/>
        </w:rPr>
        <w:t>2030</w:t>
      </w:r>
      <w:r>
        <w:rPr>
          <w:rFonts w:hint="eastAsia" w:ascii="仿宋_GB2312" w:hAnsi="仿宋_GB2312" w:eastAsia="仿宋_GB2312" w:cs="仿宋_GB2312"/>
          <w:sz w:val="32"/>
          <w:szCs w:val="22"/>
          <w:lang w:eastAsia="zh-CN"/>
        </w:rPr>
        <w:t>年全省工伤预防重点行业和领域，结合每年</w:t>
      </w:r>
      <w:r>
        <w:rPr>
          <w:rFonts w:hint="eastAsia" w:asciiTheme="minorEastAsia" w:hAnsiTheme="minorEastAsia" w:eastAsiaTheme="minorEastAsia" w:cstheme="minorEastAsia"/>
          <w:sz w:val="32"/>
          <w:szCs w:val="22"/>
          <w:lang w:eastAsia="zh-CN"/>
        </w:rPr>
        <w:t>6</w:t>
      </w:r>
      <w:r>
        <w:rPr>
          <w:rFonts w:hint="eastAsia" w:ascii="仿宋_GB2312" w:hAnsi="仿宋_GB2312" w:eastAsia="仿宋_GB2312" w:cs="仿宋_GB2312"/>
          <w:sz w:val="32"/>
          <w:szCs w:val="22"/>
          <w:lang w:eastAsia="zh-CN"/>
        </w:rPr>
        <w:t>月全国工伤保险（工伤预防）集中宣传月活动，每年确定一个宣传主题、组织一次集中宣传活动。要充分发挥各部门和有关行业企业的宣传作用，抓住安全生产月、职业病防治法宣传周、大型系列招聘会、重特大安全生产事故等重点时段、重要节点、重大事件，通过“报、网、微、屏”等传统媒体和新媒体，采取科普讲座、警示教育、知识竞赛等形式，运用公益广告、动漫、短视频、图表图解、典型案例、身边工伤事故等群众易于接受、感染力强的宣传方式，广泛深入宣传职业病防治、安全生产、交通事故防范、心脑血管疾病防治等方面的知识，不断提高职工群众的自我保护意识和职业健康意识。加强对一线职工、新就业形态人员、技工院校学生等宣传，推动宣传进企业、进工地、进园区、进社区、进校园等。发挥好行业主管部门、工业园区、大中型企业等的工伤预防警示教育基地作用。</w:t>
      </w:r>
    </w:p>
    <w:p w14:paraId="7383F294">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（六）积极创新工伤预防培训</w:t>
      </w:r>
    </w:p>
    <w:p w14:paraId="1D759B80">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Theme="minorEastAsia" w:hAnsiTheme="minorEastAsia" w:eastAsiaTheme="minorEastAsia" w:cstheme="minorEastAsia"/>
          <w:b/>
          <w:bCs/>
          <w:sz w:val="32"/>
          <w:szCs w:val="22"/>
          <w:lang w:eastAsia="zh-CN"/>
        </w:rPr>
        <w:t>1</w:t>
      </w:r>
      <w:r>
        <w:rPr>
          <w:rFonts w:hint="eastAsia" w:ascii="仿宋_GB2312" w:hAnsi="仿宋_GB2312" w:eastAsia="仿宋_GB2312" w:cs="仿宋_GB2312"/>
          <w:b/>
          <w:bCs/>
          <w:sz w:val="32"/>
          <w:szCs w:val="22"/>
          <w:lang w:eastAsia="zh-CN"/>
        </w:rPr>
        <w:t>.实施重点对象精准培训。</w:t>
      </w:r>
      <w:r>
        <w:rPr>
          <w:rFonts w:hint="eastAsia" w:ascii="仿宋_GB2312" w:hAnsi="仿宋_GB2312" w:eastAsia="仿宋_GB2312" w:cs="仿宋_GB2312"/>
          <w:sz w:val="32"/>
          <w:szCs w:val="22"/>
          <w:lang w:eastAsia="zh-CN"/>
        </w:rPr>
        <w:t>各地要实施重点行业重点企业工伤预防培训，重点行业企业要加大对安全生产、职业病防治知识和技能的培训力度，对重点行业企业主要负责人、分管负责人、安全健康管理部门主要负责人和一线班组长等进行重点培训，提升全行业企业安全生产和预防工伤的能力。</w:t>
      </w:r>
    </w:p>
    <w:p w14:paraId="567D1809">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Theme="minorEastAsia" w:hAnsiTheme="minorEastAsia" w:eastAsiaTheme="minorEastAsia" w:cstheme="minorEastAsia"/>
          <w:b/>
          <w:bCs/>
          <w:sz w:val="32"/>
          <w:szCs w:val="22"/>
          <w:lang w:eastAsia="zh-CN"/>
        </w:rPr>
        <w:t>2</w:t>
      </w:r>
      <w:r>
        <w:rPr>
          <w:rFonts w:hint="eastAsia" w:ascii="仿宋_GB2312" w:hAnsi="仿宋_GB2312" w:eastAsia="仿宋_GB2312" w:cs="仿宋_GB2312"/>
          <w:b/>
          <w:bCs/>
          <w:sz w:val="32"/>
          <w:szCs w:val="22"/>
          <w:lang w:eastAsia="zh-CN"/>
        </w:rPr>
        <w:t>.强化技工院校教育培训。</w:t>
      </w:r>
      <w:r>
        <w:rPr>
          <w:rFonts w:hint="eastAsia" w:ascii="仿宋_GB2312" w:hAnsi="仿宋_GB2312" w:eastAsia="仿宋_GB2312" w:cs="仿宋_GB2312"/>
          <w:sz w:val="32"/>
          <w:szCs w:val="22"/>
          <w:lang w:eastAsia="zh-CN"/>
        </w:rPr>
        <w:t>全省技工院校要全面开设工伤预防培训课程，将安全生产、职业病防治与工伤预防的政策法规、安全生产事故防范知识、工伤事故与职业病警示教育等作为工伤预防教育培训必修内容。技工院校学生实习前须参加安全防护知识岗位规程教育和培训并进行考核，使其初步具备工伤预防方面的基础知识，提高实习学生的安全意识。</w:t>
      </w:r>
    </w:p>
    <w:p w14:paraId="33976E46">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Theme="minorEastAsia" w:hAnsiTheme="minorEastAsia" w:eastAsiaTheme="minorEastAsia" w:cstheme="minorEastAsia"/>
          <w:b/>
          <w:bCs/>
          <w:sz w:val="32"/>
          <w:szCs w:val="22"/>
          <w:lang w:eastAsia="zh-CN"/>
        </w:rPr>
        <w:t>3</w:t>
      </w:r>
      <w:r>
        <w:rPr>
          <w:rFonts w:hint="eastAsia" w:ascii="仿宋_GB2312" w:hAnsi="仿宋_GB2312" w:eastAsia="仿宋_GB2312" w:cs="仿宋_GB2312"/>
          <w:b/>
          <w:bCs/>
          <w:sz w:val="32"/>
          <w:szCs w:val="22"/>
          <w:lang w:eastAsia="zh-CN"/>
        </w:rPr>
        <w:t>.创新多元化培训方式。</w:t>
      </w:r>
      <w:r>
        <w:rPr>
          <w:rFonts w:hint="eastAsia" w:ascii="仿宋_GB2312" w:hAnsi="仿宋_GB2312" w:eastAsia="仿宋_GB2312" w:cs="仿宋_GB2312"/>
          <w:sz w:val="32"/>
          <w:szCs w:val="22"/>
          <w:lang w:eastAsia="zh-CN"/>
        </w:rPr>
        <w:t>积极创新培训方式，配合开展重点行业企业主要负责人的“第一责任人”培训；开展供应链核心企业（龙头企业）向上下游企业（同行业中小微企业）输出安全健康管理经验和工伤预防资源的协同式培训；依托工业园区等探索建立“园区-行业-企业-班组”培训的组团式培训。各地要因地制宜，创新培训方式，注重培训实效。工伤预防培训可减免相应的安全生产和职业健康培训学时。</w:t>
      </w:r>
    </w:p>
    <w:p w14:paraId="46161B67">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（七）充分发挥工伤保险费率的调节作用</w:t>
      </w:r>
    </w:p>
    <w:p w14:paraId="2B62C1AF">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各地要充分发挥浮动费率的激励和约束作用，在执行全省统一的行业基准费率的基础上，严格落实《福建省工伤保险单位缴费费率浮动管理办法》（闽人社文〔</w:t>
      </w:r>
      <w:r>
        <w:rPr>
          <w:rFonts w:hint="eastAsia" w:asciiTheme="minorEastAsia" w:hAnsiTheme="minorEastAsia" w:eastAsiaTheme="minorEastAsia" w:cstheme="minorEastAsia"/>
          <w:sz w:val="32"/>
          <w:szCs w:val="22"/>
          <w:lang w:eastAsia="zh-CN"/>
        </w:rPr>
        <w:t>2026</w:t>
      </w:r>
      <w:r>
        <w:rPr>
          <w:rFonts w:hint="eastAsia" w:ascii="仿宋_GB2312" w:hAnsi="仿宋_GB2312" w:eastAsia="仿宋_GB2312" w:cs="仿宋_GB2312"/>
          <w:sz w:val="32"/>
          <w:szCs w:val="22"/>
          <w:lang w:eastAsia="zh-CN"/>
        </w:rPr>
        <w:t>〕</w:t>
      </w:r>
      <w:r>
        <w:rPr>
          <w:rFonts w:hint="eastAsia" w:asciiTheme="minorEastAsia" w:hAnsiTheme="minorEastAsia" w:eastAsiaTheme="minorEastAsia" w:cstheme="minorEastAsia"/>
          <w:sz w:val="32"/>
          <w:szCs w:val="22"/>
          <w:lang w:eastAsia="zh-CN"/>
        </w:rPr>
        <w:t>2</w:t>
      </w:r>
      <w:r>
        <w:rPr>
          <w:rFonts w:hint="eastAsia" w:ascii="仿宋_GB2312" w:hAnsi="仿宋_GB2312" w:eastAsia="仿宋_GB2312" w:cs="仿宋_GB2312"/>
          <w:sz w:val="32"/>
          <w:szCs w:val="22"/>
          <w:lang w:eastAsia="zh-CN"/>
        </w:rPr>
        <w:t>号），根据用人单位上年度工伤保险支缴率，对其工伤保险缴费费率进行浮动，促进用人单位主动做好工伤预防，减少工伤事故和职业病的发生。各地社会保险经办机构应每年对各参保单位的工伤风险状况进行</w:t>
      </w:r>
      <w:r>
        <w:rPr>
          <w:rFonts w:hint="eastAsia" w:asciiTheme="minorEastAsia" w:hAnsiTheme="minorEastAsia" w:eastAsiaTheme="minorEastAsia" w:cstheme="minorEastAsia"/>
          <w:sz w:val="32"/>
          <w:szCs w:val="22"/>
          <w:lang w:eastAsia="zh-CN"/>
        </w:rPr>
        <w:t>1</w:t>
      </w:r>
      <w:r>
        <w:rPr>
          <w:rFonts w:hint="eastAsia" w:ascii="仿宋_GB2312" w:hAnsi="仿宋_GB2312" w:eastAsia="仿宋_GB2312" w:cs="仿宋_GB2312"/>
          <w:sz w:val="32"/>
          <w:szCs w:val="22"/>
          <w:lang w:eastAsia="zh-CN"/>
        </w:rPr>
        <w:t>次全面评估，并依据其工伤保险费使用、工伤发生率、职业病危害程度等因素，确定其费率是否浮动及浮动的档次。</w:t>
      </w:r>
    </w:p>
    <w:p w14:paraId="0A49407C">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（八）建立完善工伤事故（含职业病）监测指标体系</w:t>
      </w:r>
    </w:p>
    <w:p w14:paraId="43D78ED8">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各地要构建工伤事故动态微观数据集，系统归集积累用人单位参保人数（行业类型分布）、工伤认定数（事故类型分布）、劳动能力鉴定数（伤残等级分布）、基金支付数据以及工伤预防费使用等数据；加强数据开发和分析应用，掌握工伤事故和职业病发生规律（高频原因、岗位、地点）、行业工伤事故发生率、企业工伤事故发生率、工伤预防开展情况及预防费使用率、基金支缴率等指标，加强对重点行业、重点企业、重点岗位的工伤事故和职业病的监测分析与风险预警，为精准开展工伤预防、科学浮动费率、完善政策提供科学依据。</w:t>
      </w:r>
    </w:p>
    <w:p w14:paraId="5E113B23">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（九）探索“人工智能+工伤预防”智能化应用</w:t>
      </w:r>
    </w:p>
    <w:p w14:paraId="7C9C2D21">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各地要依托省级公共数据汇聚共享平台，建立工伤预防数据库。积极发挥人工智能作用，部署兼具政策评估、智能辅助评审及事故伤害预警等功能应用，探索开展工伤预防行业模型训练，深度分析工伤事故和职业病发生情况，精准识别工伤预防重点行业、重点企业、重点人群和重点岗位。探索建立职业病危害因素在线监测预警系统，特别是针对矿山、建材等涉尘岗位。利用人工智能丰富工伤预防宣传和培训内容，探索利用虚拟现实（VR）和增强现实（AR）应用技术开展培训宣传。发挥人工智能、信息化在工伤预防项目管理、评估问效方面的作用，对项目进行全周期、全流程、全方位智能监管。</w:t>
      </w:r>
    </w:p>
    <w:p w14:paraId="5C938E72">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（十）持续推进工伤预防职业化建设</w:t>
      </w:r>
    </w:p>
    <w:p w14:paraId="6D890CC2">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建立完善工伤预防专家库，规范工伤预防专家申报和管理，遴选工伤预防、安全生产、职业健康等方面的专家，负责工伤预防立项评审、宣传培训、问题诊断、措施制定、评估验收等专业技术相关工作，提升专家参与程度。各地区间专家可以共享。鼓励探索建立重点行业（地方）工伤预防标准，注重发挥工伤预防咨询师的作用。</w:t>
      </w:r>
    </w:p>
    <w:p w14:paraId="3C7E5C5E">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楷体_GB2312" w:hAnsi="楷体_GB2312" w:eastAsia="楷体_GB2312" w:cs="楷体_GB2312"/>
          <w:sz w:val="32"/>
          <w:szCs w:val="22"/>
          <w:lang w:eastAsia="zh-CN"/>
        </w:rPr>
      </w:pPr>
      <w:r>
        <w:rPr>
          <w:rFonts w:hint="eastAsia" w:ascii="楷体_GB2312" w:hAnsi="楷体_GB2312" w:eastAsia="楷体_GB2312" w:cs="楷体_GB2312"/>
          <w:sz w:val="32"/>
          <w:szCs w:val="22"/>
          <w:lang w:eastAsia="zh-CN"/>
        </w:rPr>
        <w:t>（十一）探索建立工伤预防警示教育基地</w:t>
      </w:r>
    </w:p>
    <w:p w14:paraId="229CA845">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各地要发挥好行业主管部门、大中型企业在工伤预防工作中的作用，按照</w:t>
      </w:r>
      <w:r>
        <w:rPr>
          <w:rFonts w:hint="eastAsia" w:asciiTheme="minorEastAsia" w:hAnsiTheme="minorEastAsia" w:eastAsiaTheme="minorEastAsia" w:cstheme="minorEastAsia"/>
          <w:sz w:val="32"/>
          <w:szCs w:val="22"/>
          <w:lang w:eastAsia="zh-CN"/>
        </w:rPr>
        <w:t>2026</w:t>
      </w:r>
      <w:r>
        <w:rPr>
          <w:rFonts w:hint="eastAsia" w:ascii="仿宋_GB2312" w:hAnsi="仿宋_GB2312" w:eastAsia="仿宋_GB2312" w:cs="仿宋_GB2312"/>
          <w:sz w:val="32"/>
          <w:szCs w:val="22"/>
          <w:lang w:eastAsia="zh-CN"/>
        </w:rPr>
        <w:t>-</w:t>
      </w:r>
      <w:r>
        <w:rPr>
          <w:rFonts w:hint="eastAsia" w:asciiTheme="minorEastAsia" w:hAnsiTheme="minorEastAsia" w:eastAsiaTheme="minorEastAsia" w:cstheme="minorEastAsia"/>
          <w:sz w:val="32"/>
          <w:szCs w:val="22"/>
          <w:lang w:eastAsia="zh-CN"/>
        </w:rPr>
        <w:t>2030</w:t>
      </w:r>
      <w:r>
        <w:rPr>
          <w:rFonts w:hint="eastAsia" w:ascii="仿宋_GB2312" w:hAnsi="仿宋_GB2312" w:eastAsia="仿宋_GB2312" w:cs="仿宋_GB2312"/>
          <w:sz w:val="32"/>
          <w:szCs w:val="22"/>
          <w:lang w:eastAsia="zh-CN"/>
        </w:rPr>
        <w:t>年全省工伤预防的重点行业和领域，结合当地产业特色，在工伤事故和职业病高发易发企业中构建“综合示范＋产业特色”工伤预防警示教育基地集群。在工伤预防宣传培训活动中，要充分发挥工伤预防警示教育基地的作用，组织现场教学，增强培训实效。</w:t>
      </w:r>
    </w:p>
    <w:p w14:paraId="3F035148">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黑体" w:hAnsi="黑体" w:eastAsia="黑体" w:cs="黑体"/>
          <w:sz w:val="32"/>
          <w:szCs w:val="22"/>
          <w:lang w:eastAsia="zh-CN"/>
        </w:rPr>
      </w:pPr>
      <w:r>
        <w:rPr>
          <w:rFonts w:hint="eastAsia" w:ascii="黑体" w:hAnsi="黑体" w:eastAsia="黑体" w:cs="黑体"/>
          <w:sz w:val="32"/>
          <w:szCs w:val="22"/>
          <w:lang w:eastAsia="zh-CN"/>
        </w:rPr>
        <w:t>四、保障措施</w:t>
      </w:r>
    </w:p>
    <w:p w14:paraId="4D5E44D9">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楷体_GB2312" w:hAnsi="楷体_GB2312" w:eastAsia="楷体_GB2312" w:cs="楷体_GB2312"/>
          <w:sz w:val="32"/>
          <w:szCs w:val="22"/>
          <w:lang w:eastAsia="zh-CN"/>
        </w:rPr>
        <w:t>（一）加强组织领导。</w:t>
      </w:r>
      <w:r>
        <w:rPr>
          <w:rFonts w:hint="eastAsia" w:ascii="仿宋_GB2312" w:hAnsi="仿宋_GB2312" w:eastAsia="仿宋_GB2312" w:cs="仿宋_GB2312"/>
          <w:sz w:val="32"/>
          <w:szCs w:val="22"/>
          <w:lang w:eastAsia="zh-CN"/>
        </w:rPr>
        <w:t>工伤预防关乎民生福祉，是一项系统工程和民心工程。人社、应急管理、卫健部门及行业主管部门要切实负起责任，落实安全生产、职业健康法律法规规定的各项职责，负责各自领域工伤预防项目的实施和监管。工会组织要发挥好监督作用，督促企业落实工伤预防主体责任，切实维护好职工合法权益。人社部门要充分发挥牵头部门作用，科学确定工伤预防重点领域和项目，发挥好部门联动工作机制作用。要努力形成政府引导、用人单位负责、市场运作、职工参与的工伤预防格局，推动工伤预防工作有序开展。</w:t>
      </w:r>
    </w:p>
    <w:p w14:paraId="71BB4ADC">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楷体_GB2312" w:hAnsi="楷体_GB2312" w:eastAsia="楷体_GB2312" w:cs="楷体_GB2312"/>
          <w:sz w:val="32"/>
          <w:szCs w:val="22"/>
          <w:lang w:eastAsia="zh-CN"/>
        </w:rPr>
        <w:t>（二）勇于创新发展。</w:t>
      </w:r>
      <w:r>
        <w:rPr>
          <w:rFonts w:hint="eastAsia" w:ascii="仿宋_GB2312" w:hAnsi="仿宋_GB2312" w:eastAsia="仿宋_GB2312" w:cs="仿宋_GB2312"/>
          <w:sz w:val="32"/>
          <w:szCs w:val="22"/>
          <w:lang w:eastAsia="zh-CN"/>
        </w:rPr>
        <w:t>各地要坚持问题导向、目标导向、效果导向，加强工伤事故、职业病及工伤预防数据积累和统计分析，推动解决工伤预防重点难点问题。要建立示范引领和奖惩激励机制，加大工作引导力度，增强用人单位履行主体责任的自觉性。要健全沟通协调机制，及时发现并解决工作开展中遇到的问题。要立足实际，大胆创新，探索创建一批可操作、可监管、可评价、可推广的工伤预防工作模式，总结推广经验做法，形成良好示范。</w:t>
      </w:r>
    </w:p>
    <w:p w14:paraId="735AD669">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楷体_GB2312" w:hAnsi="楷体_GB2312" w:eastAsia="楷体_GB2312" w:cs="楷体_GB2312"/>
          <w:sz w:val="32"/>
          <w:szCs w:val="22"/>
          <w:lang w:eastAsia="zh-CN"/>
        </w:rPr>
        <w:t>（三）强化经费保障。</w:t>
      </w:r>
      <w:r>
        <w:rPr>
          <w:rFonts w:hint="eastAsia" w:ascii="仿宋_GB2312" w:hAnsi="仿宋_GB2312" w:eastAsia="仿宋_GB2312" w:cs="仿宋_GB2312"/>
          <w:sz w:val="32"/>
          <w:szCs w:val="22"/>
          <w:lang w:eastAsia="zh-CN"/>
        </w:rPr>
        <w:t>各地要认真落实社会保险法、《工伤保险条例》，按照《工伤预防费使用管理暂行办法》（人社部规〔</w:t>
      </w:r>
      <w:r>
        <w:rPr>
          <w:rFonts w:hint="eastAsia" w:asciiTheme="minorEastAsia" w:hAnsiTheme="minorEastAsia" w:eastAsiaTheme="minorEastAsia" w:cstheme="minorEastAsia"/>
          <w:sz w:val="32"/>
          <w:szCs w:val="22"/>
          <w:lang w:eastAsia="zh-CN"/>
        </w:rPr>
        <w:t>2017</w:t>
      </w:r>
      <w:r>
        <w:rPr>
          <w:rFonts w:hint="eastAsia" w:ascii="仿宋_GB2312" w:hAnsi="仿宋_GB2312" w:eastAsia="仿宋_GB2312" w:cs="仿宋_GB2312"/>
          <w:sz w:val="32"/>
          <w:szCs w:val="22"/>
          <w:lang w:eastAsia="zh-CN"/>
        </w:rPr>
        <w:t>〕</w:t>
      </w:r>
      <w:r>
        <w:rPr>
          <w:rFonts w:hint="eastAsia" w:asciiTheme="minorEastAsia" w:hAnsiTheme="minorEastAsia" w:eastAsiaTheme="minorEastAsia" w:cstheme="minorEastAsia"/>
          <w:sz w:val="32"/>
          <w:szCs w:val="22"/>
          <w:lang w:eastAsia="zh-CN"/>
        </w:rPr>
        <w:t>13</w:t>
      </w:r>
      <w:r>
        <w:rPr>
          <w:rFonts w:hint="eastAsia" w:ascii="仿宋_GB2312" w:hAnsi="仿宋_GB2312" w:eastAsia="仿宋_GB2312" w:cs="仿宋_GB2312"/>
          <w:sz w:val="32"/>
          <w:szCs w:val="22"/>
          <w:lang w:eastAsia="zh-CN"/>
        </w:rPr>
        <w:t>号）和《福建省工伤预防费使用管理实施办法（试行）》等相关规定，编制工伤预防费用支出计划。省级有关部门要按要求编制工伤预防项目预算，为开展工伤预防工作提供有力支撑。</w:t>
      </w:r>
    </w:p>
    <w:p w14:paraId="7D07B49A">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楷体_GB2312" w:hAnsi="楷体_GB2312" w:eastAsia="楷体_GB2312" w:cs="楷体_GB2312"/>
          <w:sz w:val="32"/>
          <w:szCs w:val="22"/>
          <w:lang w:eastAsia="zh-CN"/>
        </w:rPr>
        <w:t>（四）加强监督管理。</w:t>
      </w:r>
      <w:r>
        <w:rPr>
          <w:rFonts w:hint="eastAsia" w:ascii="仿宋_GB2312" w:hAnsi="仿宋_GB2312" w:eastAsia="仿宋_GB2312" w:cs="仿宋_GB2312"/>
          <w:sz w:val="32"/>
          <w:szCs w:val="22"/>
          <w:lang w:eastAsia="zh-CN"/>
        </w:rPr>
        <w:t>将工伤预防工作开展情况纳入对设区市政府安全生产目标责任考核内容，提高工伤预防工作的实效。各地要规范工伤预防项目申报和服务合同管理，引入专家评审机制，科学合理确定项目，明确实施要求，加强事前、事中、事后全过程管理和监督，严格落实项目验收制度。建立工伤预防档案管理制度，实现可查询、可追溯的全过程管理。要确保工伤预防费依法合规支出和使用，专项用于宣传和培训项目，不得挪作他用，不得超出规定使用。对项目实施过程中套取（骗取）工伤预防费的，依照社会保险法律法规规定处理，情节严重构成犯罪的，依法追究刑事责任。</w:t>
      </w:r>
    </w:p>
    <w:p w14:paraId="2137B225">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楷体_GB2312" w:hAnsi="楷体_GB2312" w:eastAsia="楷体_GB2312" w:cs="楷体_GB2312"/>
          <w:sz w:val="32"/>
          <w:szCs w:val="22"/>
          <w:lang w:eastAsia="zh-CN"/>
        </w:rPr>
        <w:t>（五）建立长效机制。</w:t>
      </w:r>
      <w:r>
        <w:rPr>
          <w:rFonts w:hint="eastAsia" w:ascii="仿宋_GB2312" w:hAnsi="仿宋_GB2312" w:eastAsia="仿宋_GB2312" w:cs="仿宋_GB2312"/>
          <w:sz w:val="32"/>
          <w:szCs w:val="22"/>
          <w:lang w:eastAsia="zh-CN"/>
        </w:rPr>
        <w:t>各地要结合实际，制定工伤预防五年行动计划实施办法，进一步明确部门职责，细化工作流程，健全抓落实长效机制，杜绝一阵风、一刀切，推动工伤预防常态化、规范化和机制化。每年</w:t>
      </w:r>
      <w:r>
        <w:rPr>
          <w:rFonts w:hint="eastAsia" w:asciiTheme="minorEastAsia" w:hAnsiTheme="minorEastAsia" w:eastAsiaTheme="minorEastAsia" w:cstheme="minorEastAsia"/>
          <w:sz w:val="32"/>
          <w:szCs w:val="22"/>
          <w:lang w:eastAsia="zh-CN"/>
        </w:rPr>
        <w:t>12</w:t>
      </w:r>
      <w:r>
        <w:rPr>
          <w:rFonts w:hint="eastAsia" w:ascii="仿宋_GB2312" w:hAnsi="仿宋_GB2312" w:eastAsia="仿宋_GB2312" w:cs="仿宋_GB2312"/>
          <w:sz w:val="32"/>
          <w:szCs w:val="22"/>
          <w:lang w:eastAsia="zh-CN"/>
        </w:rPr>
        <w:t>月底前，由责任部门向同级人社部门提供当年工作情况及相关数据信息。要发扬钉钉子精神，以五年为一个周期，坚持一张蓝图绘到底，保持政策稳定性和工作连续性，一年一年干下去，一期一期干下去，久久为功，常抓不懈，推动工伤预防工作不断取得新的成效。</w:t>
      </w:r>
    </w:p>
    <w:p w14:paraId="09506C4E">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p>
    <w:p w14:paraId="6AC4287F">
      <w:pPr>
        <w:keepNext w:val="0"/>
        <w:keepLines w:val="0"/>
        <w:pageBreakBefore w:val="0"/>
        <w:widowControl w:val="0"/>
        <w:kinsoku/>
        <w:wordWrap/>
        <w:overflowPunct/>
        <w:topLinePunct w:val="0"/>
        <w:autoSpaceDE/>
        <w:autoSpaceDN/>
        <w:bidi w:val="0"/>
        <w:adjustRightInd/>
        <w:snapToGrid/>
        <w:spacing w:line="540" w:lineRule="exact"/>
        <w:ind w:right="0" w:rightChars="0" w:firstLine="632" w:firstLineChars="200"/>
        <w:textAlignment w:val="auto"/>
        <w:rPr>
          <w:rFonts w:hint="eastAsia" w:ascii="仿宋_GB2312" w:hAnsi="仿宋_GB2312" w:eastAsia="仿宋_GB2312" w:cs="仿宋_GB2312"/>
          <w:sz w:val="32"/>
          <w:szCs w:val="22"/>
          <w:lang w:eastAsia="zh-CN"/>
        </w:rPr>
      </w:pPr>
      <w:r>
        <w:rPr>
          <w:rFonts w:hint="eastAsia" w:ascii="仿宋_GB2312" w:hAnsi="仿宋_GB2312" w:eastAsia="仿宋_GB2312" w:cs="仿宋_GB2312"/>
          <w:sz w:val="32"/>
          <w:szCs w:val="22"/>
          <w:lang w:eastAsia="zh-CN"/>
        </w:rPr>
        <w:t>附件：</w:t>
      </w:r>
      <w:r>
        <w:rPr>
          <w:rFonts w:hint="eastAsia" w:asciiTheme="minorEastAsia" w:hAnsiTheme="minorEastAsia" w:eastAsiaTheme="minorEastAsia" w:cstheme="minorEastAsia"/>
          <w:sz w:val="32"/>
          <w:szCs w:val="22"/>
          <w:lang w:eastAsia="zh-CN"/>
        </w:rPr>
        <w:t>1</w:t>
      </w:r>
      <w:r>
        <w:rPr>
          <w:rFonts w:hint="eastAsia" w:ascii="仿宋_GB2312" w:hAnsi="仿宋_GB2312" w:eastAsia="仿宋_GB2312" w:cs="仿宋_GB2312"/>
          <w:sz w:val="32"/>
          <w:szCs w:val="22"/>
          <w:lang w:eastAsia="zh-CN"/>
        </w:rPr>
        <w:t>.福建省工伤预防联席会议成员单位名单</w:t>
      </w:r>
    </w:p>
    <w:p w14:paraId="71E57C97">
      <w:pPr>
        <w:keepNext w:val="0"/>
        <w:keepLines w:val="0"/>
        <w:pageBreakBefore w:val="0"/>
        <w:widowControl w:val="0"/>
        <w:kinsoku/>
        <w:wordWrap/>
        <w:overflowPunct/>
        <w:topLinePunct w:val="0"/>
        <w:autoSpaceDE/>
        <w:autoSpaceDN/>
        <w:bidi w:val="0"/>
        <w:adjustRightInd/>
        <w:snapToGrid/>
        <w:spacing w:line="540" w:lineRule="exact"/>
        <w:ind w:right="0" w:rightChars="0" w:firstLine="1580" w:firstLineChars="500"/>
        <w:textAlignment w:val="auto"/>
        <w:rPr>
          <w:rFonts w:hint="eastAsia" w:ascii="仿宋_GB2312" w:hAnsi="仿宋_GB2312" w:eastAsia="仿宋_GB2312" w:cs="仿宋_GB2312"/>
          <w:sz w:val="32"/>
          <w:szCs w:val="22"/>
          <w:lang w:eastAsia="zh-CN"/>
        </w:rPr>
      </w:pPr>
      <w:r>
        <w:rPr>
          <w:rFonts w:hint="eastAsia" w:asciiTheme="minorEastAsia" w:hAnsiTheme="minorEastAsia" w:eastAsiaTheme="minorEastAsia" w:cstheme="minorEastAsia"/>
          <w:sz w:val="32"/>
          <w:szCs w:val="22"/>
          <w:lang w:eastAsia="zh-CN"/>
        </w:rPr>
        <w:t>2</w:t>
      </w:r>
      <w:r>
        <w:rPr>
          <w:rFonts w:hint="eastAsia" w:ascii="仿宋_GB2312" w:hAnsi="仿宋_GB2312" w:eastAsia="仿宋_GB2312" w:cs="仿宋_GB2312"/>
          <w:sz w:val="32"/>
          <w:szCs w:val="22"/>
          <w:lang w:eastAsia="zh-CN"/>
        </w:rPr>
        <w:t>.福建省工伤预防联席会议成员单位部门职责</w:t>
      </w:r>
    </w:p>
    <w:p w14:paraId="671810BA">
      <w:pPr>
        <w:keepNext w:val="0"/>
        <w:keepLines w:val="0"/>
        <w:pageBreakBefore w:val="0"/>
        <w:widowControl w:val="0"/>
        <w:kinsoku/>
        <w:wordWrap/>
        <w:overflowPunct/>
        <w:topLinePunct w:val="0"/>
        <w:autoSpaceDE/>
        <w:autoSpaceDN/>
        <w:bidi w:val="0"/>
        <w:adjustRightInd/>
        <w:snapToGrid/>
        <w:spacing w:line="540" w:lineRule="exact"/>
        <w:ind w:right="0" w:rightChars="0" w:firstLine="1580" w:firstLineChars="500"/>
        <w:textAlignment w:val="auto"/>
        <w:rPr>
          <w:rFonts w:hint="eastAsia" w:ascii="仿宋_GB2312" w:hAnsi="仿宋_GB2312" w:eastAsia="仿宋_GB2312" w:cs="仿宋_GB2312"/>
          <w:sz w:val="32"/>
          <w:szCs w:val="22"/>
          <w:lang w:eastAsia="zh-CN"/>
        </w:rPr>
      </w:pPr>
      <w:r>
        <w:rPr>
          <w:rFonts w:hint="eastAsia" w:asciiTheme="minorEastAsia" w:hAnsiTheme="minorEastAsia" w:eastAsiaTheme="minorEastAsia" w:cstheme="minorEastAsia"/>
          <w:sz w:val="32"/>
          <w:szCs w:val="22"/>
          <w:lang w:eastAsia="zh-CN"/>
        </w:rPr>
        <w:t>3</w:t>
      </w:r>
      <w:r>
        <w:rPr>
          <w:rFonts w:hint="eastAsia" w:ascii="仿宋_GB2312" w:hAnsi="仿宋_GB2312" w:eastAsia="仿宋_GB2312" w:cs="仿宋_GB2312"/>
          <w:sz w:val="32"/>
          <w:szCs w:val="22"/>
          <w:lang w:eastAsia="zh-CN"/>
        </w:rPr>
        <w:t>.工伤预防监测指标体系</w:t>
      </w:r>
    </w:p>
    <w:p w14:paraId="58154C44">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sz w:val="32"/>
          <w:szCs w:val="22"/>
          <w:lang w:eastAsia="zh-CN"/>
        </w:rPr>
        <w:sectPr>
          <w:pgSz w:w="11906" w:h="16838"/>
          <w:pgMar w:top="2098" w:right="1531" w:bottom="1985" w:left="1531" w:header="851" w:footer="1588" w:gutter="0"/>
          <w:pgNumType w:fmt="numberInDash"/>
          <w:cols w:space="425" w:num="1"/>
          <w:docGrid w:type="linesAndChars" w:linePitch="579" w:charSpace="-849"/>
        </w:sectPr>
      </w:pPr>
    </w:p>
    <w:p w14:paraId="74A65A97">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黑体" w:hAnsi="黑体" w:eastAsia="黑体" w:cs="黑体"/>
          <w:sz w:val="32"/>
          <w:szCs w:val="22"/>
          <w:lang w:val="en-US" w:eastAsia="zh-CN"/>
        </w:rPr>
      </w:pPr>
      <w:r>
        <w:rPr>
          <w:rFonts w:hint="eastAsia" w:ascii="黑体" w:hAnsi="黑体" w:eastAsia="黑体" w:cs="黑体"/>
          <w:sz w:val="32"/>
          <w:szCs w:val="22"/>
          <w:lang w:eastAsia="zh-CN"/>
        </w:rPr>
        <w:t>附件</w:t>
      </w:r>
      <w:r>
        <w:rPr>
          <w:rFonts w:hint="eastAsia" w:asciiTheme="minorEastAsia" w:hAnsiTheme="minorEastAsia" w:eastAsiaTheme="minorEastAsia" w:cstheme="minorEastAsia"/>
          <w:sz w:val="32"/>
          <w:szCs w:val="22"/>
          <w:lang w:val="en-US" w:eastAsia="zh-CN"/>
        </w:rPr>
        <w:t>1</w:t>
      </w:r>
    </w:p>
    <w:p w14:paraId="44ACAC37">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32"/>
          <w:lang w:eastAsia="zh-CN"/>
        </w:rPr>
      </w:pPr>
    </w:p>
    <w:p w14:paraId="6AAEF300">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32"/>
          <w:lang w:eastAsia="zh-CN"/>
        </w:rPr>
      </w:pPr>
      <w:r>
        <w:rPr>
          <w:rFonts w:hint="eastAsia" w:ascii="方正小标宋简体" w:hAnsi="方正小标宋简体" w:eastAsia="方正小标宋简体" w:cs="方正小标宋简体"/>
          <w:sz w:val="44"/>
          <w:szCs w:val="32"/>
          <w:lang w:eastAsia="zh-CN"/>
        </w:rPr>
        <w:t>福建省工伤预防联席会议成员单位名单</w:t>
      </w:r>
    </w:p>
    <w:p w14:paraId="4FEF32DF">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32"/>
          <w:lang w:eastAsia="zh-CN"/>
        </w:rPr>
      </w:pPr>
    </w:p>
    <w:p w14:paraId="09ECDBC1">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b/>
          <w:bCs/>
          <w:sz w:val="32"/>
          <w:szCs w:val="22"/>
          <w:lang w:val="en-US" w:eastAsia="zh-CN"/>
        </w:rPr>
        <w:t>召集人：</w:t>
      </w:r>
      <w:r>
        <w:rPr>
          <w:rFonts w:hint="default" w:ascii="仿宋_GB2312" w:hAnsi="仿宋_GB2312" w:eastAsia="仿宋_GB2312" w:cs="仿宋_GB2312"/>
          <w:sz w:val="32"/>
          <w:szCs w:val="22"/>
          <w:lang w:val="en-US" w:eastAsia="zh-CN"/>
        </w:rPr>
        <w:t>童长峰　省人社厅党组成员、副厅长</w:t>
      </w:r>
    </w:p>
    <w:p w14:paraId="64DE5279">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b/>
          <w:bCs/>
          <w:sz w:val="32"/>
          <w:szCs w:val="22"/>
          <w:lang w:val="en-US" w:eastAsia="zh-CN"/>
        </w:rPr>
        <w:t>成　员：</w:t>
      </w:r>
      <w:r>
        <w:rPr>
          <w:rFonts w:hint="default" w:ascii="仿宋_GB2312" w:hAnsi="仿宋_GB2312" w:eastAsia="仿宋_GB2312" w:cs="仿宋_GB2312"/>
          <w:sz w:val="32"/>
          <w:szCs w:val="22"/>
          <w:lang w:val="en-US" w:eastAsia="zh-CN"/>
        </w:rPr>
        <w:t>叶立飞　省人社厅工伤保险处处长</w:t>
      </w:r>
    </w:p>
    <w:p w14:paraId="1EEFC9F3">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　　　　吴高信　省工信厅装备工业处副处长</w:t>
      </w:r>
    </w:p>
    <w:p w14:paraId="1BBB3985">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　　　　张翼飞　省财政厅社会保障处处长</w:t>
      </w:r>
    </w:p>
    <w:p w14:paraId="417C8D25">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　　　　刘艽明　省住建厅工程建设管理处处长</w:t>
      </w:r>
    </w:p>
    <w:p w14:paraId="1EA0C9ED">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　　　　苏毕松　省交通运输厅安全监督处三级调研员</w:t>
      </w:r>
    </w:p>
    <w:p w14:paraId="0E79D888">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　　　　缪长安　省卫健委职业健康处处长</w:t>
      </w:r>
    </w:p>
    <w:p w14:paraId="648AA8A8">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　　　　戴文益　省应急管理厅调查统计处处长</w:t>
      </w:r>
    </w:p>
    <w:p w14:paraId="6CB53B02">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　　　　陈何杰　省市场监管局价格监督检查处处长</w:t>
      </w:r>
    </w:p>
    <w:p w14:paraId="15F0FDD4">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　　　　赵令强　省总工会劳动和经技工作部部长</w:t>
      </w:r>
    </w:p>
    <w:p w14:paraId="61BF5B5E">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sectPr>
          <w:pgSz w:w="11906" w:h="16838"/>
          <w:pgMar w:top="2098" w:right="1531" w:bottom="1985" w:left="1531" w:header="851" w:footer="1588" w:gutter="0"/>
          <w:pgNumType w:fmt="numberInDash"/>
          <w:cols w:space="425" w:num="1"/>
          <w:docGrid w:type="linesAndChars" w:linePitch="579" w:charSpace="-849"/>
        </w:sectPr>
      </w:pPr>
    </w:p>
    <w:p w14:paraId="693B4417">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黑体" w:hAnsi="黑体" w:eastAsia="黑体" w:cs="黑体"/>
          <w:sz w:val="32"/>
          <w:szCs w:val="22"/>
          <w:lang w:val="en-US" w:eastAsia="zh-CN"/>
        </w:rPr>
      </w:pPr>
      <w:r>
        <w:rPr>
          <w:rFonts w:hint="eastAsia" w:ascii="黑体" w:hAnsi="黑体" w:eastAsia="黑体" w:cs="黑体"/>
          <w:sz w:val="32"/>
          <w:szCs w:val="22"/>
          <w:lang w:val="en-US" w:eastAsia="zh-CN"/>
        </w:rPr>
        <w:t>附件</w:t>
      </w:r>
      <w:r>
        <w:rPr>
          <w:rFonts w:hint="eastAsia" w:asciiTheme="minorEastAsia" w:hAnsiTheme="minorEastAsia" w:eastAsiaTheme="minorEastAsia" w:cstheme="minorEastAsia"/>
          <w:sz w:val="32"/>
          <w:szCs w:val="22"/>
          <w:lang w:val="en-US" w:eastAsia="zh-CN"/>
        </w:rPr>
        <w:t>2</w:t>
      </w:r>
    </w:p>
    <w:p w14:paraId="64F3D826">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32"/>
          <w:lang w:eastAsia="zh-CN"/>
        </w:rPr>
      </w:pPr>
    </w:p>
    <w:p w14:paraId="79FB221A">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sz w:val="44"/>
          <w:szCs w:val="32"/>
          <w:lang w:eastAsia="zh-CN"/>
        </w:rPr>
      </w:pPr>
      <w:r>
        <w:rPr>
          <w:rFonts w:hint="eastAsia" w:ascii="方正小标宋简体" w:hAnsi="方正小标宋简体" w:eastAsia="方正小标宋简体" w:cs="方正小标宋简体"/>
          <w:sz w:val="44"/>
          <w:szCs w:val="32"/>
          <w:lang w:eastAsia="zh-CN"/>
        </w:rPr>
        <w:t>福建省工伤预防联席会议成员单位部门职责</w:t>
      </w:r>
    </w:p>
    <w:p w14:paraId="72DC890C">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eastAsia" w:ascii="仿宋_GB2312" w:hAnsi="仿宋_GB2312" w:eastAsia="仿宋_GB2312" w:cs="仿宋_GB2312"/>
          <w:sz w:val="32"/>
          <w:szCs w:val="22"/>
          <w:lang w:eastAsia="zh-CN"/>
        </w:rPr>
      </w:pPr>
    </w:p>
    <w:p w14:paraId="37462499">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（一）省人力资源和社会保障厅牵头负责统筹协调联席会议各项工作，定期召开联席会议，制订工伤预防相关政策，督促指导全省工伤预防工作，编制全省工伤预防经费预算，组织实施省本级工伤预防工作。</w:t>
      </w:r>
    </w:p>
    <w:p w14:paraId="5E122309">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（二）省工业和信息化厅负责督促指导全省工信领域的安全生产及工伤预防工作，并提供本行业安全生产及工伤预防相关信息。</w:t>
      </w:r>
    </w:p>
    <w:p w14:paraId="682C2813">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（三）省财政厅负责审核并汇总编制工伤保险基金预算，保障工伤预防工作经费。</w:t>
      </w:r>
    </w:p>
    <w:p w14:paraId="5CDBD916">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（四）省住房和城乡建设厅负责督促指导全省房屋建筑和市政基础设施工程行业开展安全生产及工伤预防工作，落实建筑工人实名制管理，并提供本行业安全生产及工伤预防相关信息。</w:t>
      </w:r>
    </w:p>
    <w:p w14:paraId="07FBD0D2">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（五）省交通运输厅负责督促指导全省交通运输行业开展安全生产及工伤预防工作，并提供本行业安全生产及工伤预防相关信息。</w:t>
      </w:r>
    </w:p>
    <w:p w14:paraId="6FEF5866">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（六）省卫生健康委负责尘肺病等重点职业病精准防控，督促指导全省矿山、冶金、化工、纺织、建筑等行业开展职业卫生防护工作，并提供相关行业职业病诊断与鉴定等信息。</w:t>
      </w:r>
    </w:p>
    <w:p w14:paraId="791CFC80">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（七）省应急管理厅负责督促指导全省危险化学品、矿山、机械制造等行业开展安全生产及工伤预防工作，并提供相关行业安全生产责任事故分类数据等信息。</w:t>
      </w:r>
    </w:p>
    <w:p w14:paraId="2360B7F6">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（八）省市场监督管理局配合相关部门做好约谈提醒等工伤预防工作。</w:t>
      </w:r>
    </w:p>
    <w:p w14:paraId="62342194">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rPr>
          <w:rFonts w:hint="default" w:ascii="仿宋_GB2312" w:hAnsi="仿宋_GB2312" w:eastAsia="仿宋_GB2312" w:cs="仿宋_GB2312"/>
          <w:sz w:val="32"/>
          <w:szCs w:val="22"/>
          <w:lang w:val="en-US" w:eastAsia="zh-CN"/>
        </w:rPr>
      </w:pPr>
      <w:r>
        <w:rPr>
          <w:rFonts w:hint="default" w:ascii="仿宋_GB2312" w:hAnsi="仿宋_GB2312" w:eastAsia="仿宋_GB2312" w:cs="仿宋_GB2312"/>
          <w:sz w:val="32"/>
          <w:szCs w:val="22"/>
          <w:lang w:val="en-US" w:eastAsia="zh-CN"/>
        </w:rPr>
        <w:t>（九）省总工会负责督促全省各类用人单位落实安全生产及工伤预防主体责任，发布工会劳动法律监督提示函，强化工业园区、即时配送站点劳动保护监督检查员队伍建设，开展群众性排除安全隐患活动，切实维护职工合法权益。</w:t>
      </w:r>
    </w:p>
    <w:p w14:paraId="0D72D56F">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default" w:ascii="仿宋_GB2312" w:hAnsi="仿宋_GB2312" w:eastAsia="仿宋_GB2312" w:cs="仿宋_GB2312"/>
          <w:sz w:val="32"/>
          <w:szCs w:val="22"/>
          <w:lang w:val="en-US" w:eastAsia="zh-CN"/>
        </w:rPr>
        <w:sectPr>
          <w:pgSz w:w="11906" w:h="16838"/>
          <w:pgMar w:top="2098" w:right="1531" w:bottom="1985" w:left="1531" w:header="851" w:footer="1588" w:gutter="0"/>
          <w:pgNumType w:fmt="numberInDash"/>
          <w:cols w:space="425" w:num="1"/>
          <w:docGrid w:type="linesAndChars" w:linePitch="579" w:charSpace="-849"/>
        </w:sectPr>
      </w:pPr>
    </w:p>
    <w:p w14:paraId="362DF832">
      <w:pPr>
        <w:keepNext w:val="0"/>
        <w:keepLines w:val="0"/>
        <w:pageBreakBefore w:val="0"/>
        <w:widowControl w:val="0"/>
        <w:kinsoku/>
        <w:wordWrap/>
        <w:overflowPunct/>
        <w:topLinePunct w:val="0"/>
        <w:autoSpaceDE/>
        <w:autoSpaceDN/>
        <w:bidi w:val="0"/>
        <w:adjustRightInd/>
        <w:snapToGrid/>
        <w:spacing w:line="460" w:lineRule="exact"/>
        <w:ind w:right="0" w:rightChars="0"/>
        <w:textAlignment w:val="auto"/>
        <w:rPr>
          <w:rFonts w:hint="eastAsia" w:ascii="黑体" w:hAnsi="黑体" w:eastAsia="黑体" w:cs="黑体"/>
          <w:sz w:val="32"/>
          <w:szCs w:val="22"/>
          <w:lang w:val="en-US" w:eastAsia="zh-CN"/>
        </w:rPr>
      </w:pPr>
      <w:r>
        <w:rPr>
          <w:rFonts w:hint="eastAsia" w:ascii="黑体" w:hAnsi="黑体" w:eastAsia="黑体" w:cs="黑体"/>
          <w:sz w:val="32"/>
          <w:szCs w:val="22"/>
          <w:lang w:val="en-US" w:eastAsia="zh-CN"/>
        </w:rPr>
        <w:t>附件</w:t>
      </w:r>
      <w:r>
        <w:rPr>
          <w:rFonts w:hint="eastAsia" w:asciiTheme="minorEastAsia" w:hAnsiTheme="minorEastAsia" w:eastAsiaTheme="minorEastAsia" w:cstheme="minorEastAsia"/>
          <w:sz w:val="32"/>
          <w:szCs w:val="22"/>
          <w:lang w:val="en-US" w:eastAsia="zh-CN"/>
        </w:rPr>
        <w:t>3</w:t>
      </w:r>
    </w:p>
    <w:p w14:paraId="7C5A9646">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小标宋简体" w:hAnsi="方正小标宋简体" w:eastAsia="方正小标宋简体" w:cs="方正小标宋简体"/>
          <w:sz w:val="44"/>
          <w:szCs w:val="32"/>
          <w:lang w:eastAsia="zh-CN"/>
        </w:rPr>
      </w:pPr>
    </w:p>
    <w:p w14:paraId="5CC8895F">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小标宋简体" w:hAnsi="方正小标宋简体" w:eastAsia="方正小标宋简体" w:cs="方正小标宋简体"/>
          <w:sz w:val="44"/>
          <w:szCs w:val="32"/>
          <w:lang w:eastAsia="zh-CN"/>
        </w:rPr>
      </w:pPr>
      <w:r>
        <w:rPr>
          <w:rFonts w:hint="eastAsia" w:ascii="方正小标宋简体" w:hAnsi="方正小标宋简体" w:eastAsia="方正小标宋简体" w:cs="方正小标宋简体"/>
          <w:sz w:val="44"/>
          <w:szCs w:val="32"/>
          <w:lang w:eastAsia="zh-CN"/>
        </w:rPr>
        <w:t>工伤预防监测指标体系</w:t>
      </w:r>
    </w:p>
    <w:p w14:paraId="00B4C531">
      <w:pPr>
        <w:pStyle w:val="2"/>
        <w:keepNext w:val="0"/>
        <w:keepLines w:val="0"/>
        <w:pageBreakBefore w:val="0"/>
        <w:widowControl w:val="0"/>
        <w:kinsoku/>
        <w:wordWrap/>
        <w:overflowPunct/>
        <w:topLinePunct w:val="0"/>
        <w:autoSpaceDE/>
        <w:autoSpaceDN/>
        <w:bidi w:val="0"/>
        <w:adjustRightInd/>
        <w:snapToGrid/>
        <w:spacing w:after="0" w:afterLines="0" w:line="460" w:lineRule="exact"/>
        <w:textAlignment w:val="auto"/>
        <w:rPr>
          <w:rFonts w:hint="eastAsia"/>
          <w:lang w:val="en-US" w:eastAsia="zh-CN"/>
        </w:rPr>
      </w:pPr>
    </w:p>
    <w:tbl>
      <w:tblPr>
        <w:tblStyle w:val="5"/>
        <w:tblW w:w="49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3431"/>
        <w:gridCol w:w="4192"/>
        <w:gridCol w:w="3134"/>
      </w:tblGrid>
      <w:tr w14:paraId="31B1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98" w:type="pct"/>
            <w:noWrap w:val="0"/>
            <w:vAlign w:val="center"/>
          </w:tcPr>
          <w:p w14:paraId="39B915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kern w:val="2"/>
                <w:sz w:val="28"/>
                <w:szCs w:val="28"/>
                <w:vertAlign w:val="baseline"/>
                <w:lang w:val="en-US" w:eastAsia="zh-CN" w:bidi="ar-SA"/>
              </w:rPr>
            </w:pPr>
            <w:r>
              <w:rPr>
                <w:rFonts w:hint="eastAsia" w:ascii="黑体" w:hAnsi="黑体" w:eastAsia="黑体" w:cs="黑体"/>
                <w:b w:val="0"/>
                <w:bCs w:val="0"/>
                <w:kern w:val="2"/>
                <w:sz w:val="28"/>
                <w:szCs w:val="28"/>
                <w:vertAlign w:val="baseline"/>
                <w:lang w:val="en-US" w:eastAsia="zh-CN" w:bidi="ar-SA"/>
              </w:rPr>
              <w:t>监测指标名称</w:t>
            </w:r>
          </w:p>
        </w:tc>
        <w:tc>
          <w:tcPr>
            <w:tcW w:w="1340" w:type="pct"/>
            <w:noWrap w:val="0"/>
            <w:vAlign w:val="center"/>
          </w:tcPr>
          <w:p w14:paraId="7D6777A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kern w:val="2"/>
                <w:sz w:val="28"/>
                <w:szCs w:val="28"/>
                <w:vertAlign w:val="baseline"/>
                <w:lang w:val="en-US" w:eastAsia="zh-CN" w:bidi="ar-SA"/>
              </w:rPr>
            </w:pPr>
            <w:r>
              <w:rPr>
                <w:rFonts w:hint="default" w:ascii="黑体" w:hAnsi="黑体" w:eastAsia="黑体" w:cs="黑体"/>
                <w:b w:val="0"/>
                <w:bCs w:val="0"/>
                <w:kern w:val="2"/>
                <w:sz w:val="28"/>
                <w:szCs w:val="28"/>
                <w:vertAlign w:val="baseline"/>
                <w:lang w:eastAsia="zh-CN" w:bidi="ar-SA"/>
              </w:rPr>
              <w:t>监测</w:t>
            </w:r>
            <w:r>
              <w:rPr>
                <w:rFonts w:hint="eastAsia" w:ascii="黑体" w:hAnsi="黑体" w:eastAsia="黑体" w:cs="黑体"/>
                <w:b w:val="0"/>
                <w:bCs w:val="0"/>
                <w:kern w:val="2"/>
                <w:sz w:val="28"/>
                <w:szCs w:val="28"/>
                <w:vertAlign w:val="baseline"/>
                <w:lang w:val="en-US" w:eastAsia="zh-CN" w:bidi="ar-SA"/>
              </w:rPr>
              <w:t>指标</w:t>
            </w:r>
            <w:r>
              <w:rPr>
                <w:rFonts w:hint="eastAsia" w:asciiTheme="minorEastAsia" w:hAnsiTheme="minorEastAsia" w:eastAsiaTheme="minorEastAsia" w:cstheme="minorEastAsia"/>
                <w:b w:val="0"/>
                <w:bCs w:val="0"/>
                <w:kern w:val="2"/>
                <w:sz w:val="28"/>
                <w:szCs w:val="28"/>
                <w:vertAlign w:val="baseline"/>
                <w:lang w:val="en-US" w:eastAsia="zh-CN" w:bidi="ar-SA"/>
              </w:rPr>
              <w:t>1</w:t>
            </w:r>
          </w:p>
        </w:tc>
        <w:tc>
          <w:tcPr>
            <w:tcW w:w="1637" w:type="pct"/>
            <w:noWrap w:val="0"/>
            <w:vAlign w:val="center"/>
          </w:tcPr>
          <w:p w14:paraId="794EA4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kern w:val="2"/>
                <w:sz w:val="28"/>
                <w:szCs w:val="28"/>
                <w:vertAlign w:val="baseline"/>
                <w:lang w:val="en-US" w:eastAsia="zh-CN" w:bidi="ar-SA"/>
              </w:rPr>
            </w:pPr>
            <w:r>
              <w:rPr>
                <w:rFonts w:hint="default" w:ascii="黑体" w:hAnsi="黑体" w:eastAsia="黑体" w:cs="黑体"/>
                <w:b w:val="0"/>
                <w:bCs w:val="0"/>
                <w:kern w:val="2"/>
                <w:sz w:val="28"/>
                <w:szCs w:val="28"/>
                <w:vertAlign w:val="baseline"/>
                <w:lang w:eastAsia="zh-CN" w:bidi="ar-SA"/>
              </w:rPr>
              <w:t>监测</w:t>
            </w:r>
            <w:r>
              <w:rPr>
                <w:rFonts w:hint="eastAsia" w:ascii="黑体" w:hAnsi="黑体" w:eastAsia="黑体" w:cs="黑体"/>
                <w:b w:val="0"/>
                <w:bCs w:val="0"/>
                <w:kern w:val="2"/>
                <w:sz w:val="28"/>
                <w:szCs w:val="28"/>
                <w:vertAlign w:val="baseline"/>
                <w:lang w:val="en-US" w:eastAsia="zh-CN" w:bidi="ar-SA"/>
              </w:rPr>
              <w:t>指标</w:t>
            </w:r>
            <w:r>
              <w:rPr>
                <w:rFonts w:hint="eastAsia" w:asciiTheme="minorEastAsia" w:hAnsiTheme="minorEastAsia" w:eastAsiaTheme="minorEastAsia" w:cstheme="minorEastAsia"/>
                <w:b w:val="0"/>
                <w:bCs w:val="0"/>
                <w:kern w:val="2"/>
                <w:sz w:val="28"/>
                <w:szCs w:val="28"/>
                <w:vertAlign w:val="baseline"/>
                <w:lang w:val="en-US" w:eastAsia="zh-CN" w:bidi="ar-SA"/>
              </w:rPr>
              <w:t>2</w:t>
            </w:r>
          </w:p>
        </w:tc>
        <w:tc>
          <w:tcPr>
            <w:tcW w:w="1224" w:type="pct"/>
            <w:noWrap w:val="0"/>
            <w:vAlign w:val="center"/>
          </w:tcPr>
          <w:p w14:paraId="2FD645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kern w:val="2"/>
                <w:sz w:val="28"/>
                <w:szCs w:val="28"/>
                <w:vertAlign w:val="baseline"/>
                <w:lang w:val="en-US" w:eastAsia="zh-CN" w:bidi="ar-SA"/>
              </w:rPr>
            </w:pPr>
            <w:r>
              <w:rPr>
                <w:rFonts w:hint="default" w:ascii="黑体" w:hAnsi="黑体" w:eastAsia="黑体" w:cs="黑体"/>
                <w:b w:val="0"/>
                <w:bCs w:val="0"/>
                <w:kern w:val="2"/>
                <w:sz w:val="28"/>
                <w:szCs w:val="28"/>
                <w:vertAlign w:val="baseline"/>
                <w:lang w:eastAsia="zh-CN" w:bidi="ar-SA"/>
              </w:rPr>
              <w:t>监测</w:t>
            </w:r>
            <w:r>
              <w:rPr>
                <w:rFonts w:hint="eastAsia" w:ascii="黑体" w:hAnsi="黑体" w:eastAsia="黑体" w:cs="黑体"/>
                <w:b w:val="0"/>
                <w:bCs w:val="0"/>
                <w:kern w:val="2"/>
                <w:sz w:val="28"/>
                <w:szCs w:val="28"/>
                <w:vertAlign w:val="baseline"/>
                <w:lang w:val="en-US" w:eastAsia="zh-CN" w:bidi="ar-SA"/>
              </w:rPr>
              <w:t>指标</w:t>
            </w:r>
            <w:r>
              <w:rPr>
                <w:rFonts w:hint="eastAsia" w:asciiTheme="minorEastAsia" w:hAnsiTheme="minorEastAsia" w:eastAsiaTheme="minorEastAsia" w:cstheme="minorEastAsia"/>
                <w:b w:val="0"/>
                <w:bCs w:val="0"/>
                <w:kern w:val="2"/>
                <w:sz w:val="28"/>
                <w:szCs w:val="28"/>
                <w:vertAlign w:val="baseline"/>
                <w:lang w:val="en-US" w:eastAsia="zh-CN" w:bidi="ar-SA"/>
              </w:rPr>
              <w:t>3</w:t>
            </w:r>
          </w:p>
        </w:tc>
      </w:tr>
      <w:tr w14:paraId="604A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98" w:type="pct"/>
            <w:vMerge w:val="restart"/>
            <w:noWrap w:val="0"/>
            <w:vAlign w:val="center"/>
          </w:tcPr>
          <w:p w14:paraId="18639C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 w:eastAsia="zh-CN" w:bidi="ar-SA"/>
              </w:rPr>
            </w:pPr>
            <w:r>
              <w:rPr>
                <w:rFonts w:hint="eastAsia" w:ascii="仿宋_GB2312" w:hAnsi="仿宋_GB2312" w:eastAsia="仿宋_GB2312" w:cs="仿宋_GB2312"/>
                <w:b w:val="0"/>
                <w:bCs w:val="0"/>
                <w:kern w:val="2"/>
                <w:sz w:val="28"/>
                <w:szCs w:val="28"/>
                <w:vertAlign w:val="baseline"/>
                <w:lang w:val="en" w:eastAsia="zh-CN" w:bidi="ar-SA"/>
              </w:rPr>
              <w:t>工伤人员情况</w:t>
            </w:r>
          </w:p>
        </w:tc>
        <w:tc>
          <w:tcPr>
            <w:tcW w:w="1340" w:type="pct"/>
            <w:noWrap w:val="0"/>
            <w:vAlign w:val="center"/>
          </w:tcPr>
          <w:p w14:paraId="13B8B0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人员信息</w:t>
            </w:r>
          </w:p>
        </w:tc>
        <w:tc>
          <w:tcPr>
            <w:tcW w:w="1637" w:type="pct"/>
            <w:noWrap w:val="0"/>
            <w:vAlign w:val="center"/>
          </w:tcPr>
          <w:p w14:paraId="51D6FF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工伤时间</w:t>
            </w:r>
          </w:p>
        </w:tc>
        <w:tc>
          <w:tcPr>
            <w:tcW w:w="1224" w:type="pct"/>
            <w:vMerge w:val="restart"/>
            <w:noWrap w:val="0"/>
            <w:vAlign w:val="center"/>
          </w:tcPr>
          <w:p w14:paraId="77603C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工伤认定情形</w:t>
            </w:r>
          </w:p>
          <w:p w14:paraId="5B7A61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w:t>
            </w:r>
            <w:r>
              <w:rPr>
                <w:rFonts w:hint="eastAsia" w:asciiTheme="minorEastAsia" w:hAnsiTheme="minorEastAsia" w:eastAsiaTheme="minorEastAsia" w:cstheme="minorEastAsia"/>
                <w:b w:val="0"/>
                <w:bCs w:val="0"/>
                <w:kern w:val="2"/>
                <w:sz w:val="28"/>
                <w:szCs w:val="28"/>
                <w:vertAlign w:val="baseline"/>
                <w:lang w:val="en-US" w:eastAsia="zh-CN" w:bidi="ar-SA"/>
              </w:rPr>
              <w:t>7</w:t>
            </w:r>
            <w:r>
              <w:rPr>
                <w:rFonts w:hint="eastAsia" w:ascii="仿宋_GB2312" w:hAnsi="仿宋_GB2312" w:eastAsia="仿宋_GB2312" w:cs="仿宋_GB2312"/>
                <w:b w:val="0"/>
                <w:bCs w:val="0"/>
                <w:kern w:val="2"/>
                <w:sz w:val="28"/>
                <w:szCs w:val="28"/>
                <w:vertAlign w:val="baseline"/>
                <w:lang w:val="en-US" w:eastAsia="zh-CN" w:bidi="ar-SA"/>
              </w:rPr>
              <w:t>+</w:t>
            </w:r>
            <w:r>
              <w:rPr>
                <w:rFonts w:hint="eastAsia" w:asciiTheme="minorEastAsia" w:hAnsiTheme="minorEastAsia" w:eastAsiaTheme="minorEastAsia" w:cstheme="minorEastAsia"/>
                <w:b w:val="0"/>
                <w:bCs w:val="0"/>
                <w:kern w:val="2"/>
                <w:sz w:val="28"/>
                <w:szCs w:val="28"/>
                <w:vertAlign w:val="baseline"/>
                <w:lang w:val="en-US" w:eastAsia="zh-CN" w:bidi="ar-SA"/>
              </w:rPr>
              <w:t>3</w:t>
            </w:r>
            <w:r>
              <w:rPr>
                <w:rFonts w:hint="eastAsia" w:ascii="仿宋_GB2312" w:hAnsi="仿宋_GB2312" w:eastAsia="仿宋_GB2312" w:cs="仿宋_GB2312"/>
                <w:b w:val="0"/>
                <w:bCs w:val="0"/>
                <w:kern w:val="2"/>
                <w:sz w:val="28"/>
                <w:szCs w:val="28"/>
                <w:vertAlign w:val="baseline"/>
                <w:lang w:val="en-US" w:eastAsia="zh-CN" w:bidi="ar-SA"/>
              </w:rPr>
              <w:t>）</w:t>
            </w:r>
          </w:p>
        </w:tc>
      </w:tr>
      <w:tr w14:paraId="0D4C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98" w:type="pct"/>
            <w:vMerge w:val="continue"/>
            <w:noWrap w:val="0"/>
            <w:vAlign w:val="center"/>
          </w:tcPr>
          <w:p w14:paraId="3ABF6E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Calibri" w:hAnsi="Calibri" w:eastAsia="宋体" w:cs="Times New Roman"/>
                <w:sz w:val="28"/>
                <w:szCs w:val="28"/>
              </w:rPr>
            </w:pPr>
          </w:p>
        </w:tc>
        <w:tc>
          <w:tcPr>
            <w:tcW w:w="1340" w:type="pct"/>
            <w:noWrap w:val="0"/>
            <w:vAlign w:val="center"/>
          </w:tcPr>
          <w:p w14:paraId="619C73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单位名称</w:t>
            </w:r>
          </w:p>
        </w:tc>
        <w:tc>
          <w:tcPr>
            <w:tcW w:w="1637" w:type="pct"/>
            <w:noWrap w:val="0"/>
            <w:vAlign w:val="center"/>
          </w:tcPr>
          <w:p w14:paraId="210C58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工伤地点</w:t>
            </w:r>
          </w:p>
        </w:tc>
        <w:tc>
          <w:tcPr>
            <w:tcW w:w="1224" w:type="pct"/>
            <w:vMerge w:val="continue"/>
            <w:noWrap w:val="0"/>
            <w:vAlign w:val="center"/>
          </w:tcPr>
          <w:p w14:paraId="0D65E3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tc>
      </w:tr>
      <w:tr w14:paraId="0CF5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98" w:type="pct"/>
            <w:vMerge w:val="continue"/>
            <w:noWrap w:val="0"/>
            <w:vAlign w:val="center"/>
          </w:tcPr>
          <w:p w14:paraId="5D8112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tc>
        <w:tc>
          <w:tcPr>
            <w:tcW w:w="1340" w:type="pct"/>
            <w:noWrap w:val="0"/>
            <w:vAlign w:val="center"/>
          </w:tcPr>
          <w:p w14:paraId="6AC435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所属行业</w:t>
            </w:r>
          </w:p>
        </w:tc>
        <w:tc>
          <w:tcPr>
            <w:tcW w:w="1637" w:type="pct"/>
            <w:noWrap w:val="0"/>
            <w:vAlign w:val="center"/>
          </w:tcPr>
          <w:p w14:paraId="0ECF17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工伤部位</w:t>
            </w:r>
          </w:p>
        </w:tc>
        <w:tc>
          <w:tcPr>
            <w:tcW w:w="1224" w:type="pct"/>
            <w:vMerge w:val="restart"/>
            <w:noWrap w:val="0"/>
            <w:vAlign w:val="center"/>
          </w:tcPr>
          <w:p w14:paraId="4E3372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伤残等级</w:t>
            </w:r>
          </w:p>
          <w:p w14:paraId="7C4081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w:t>
            </w:r>
            <w:r>
              <w:rPr>
                <w:rFonts w:hint="eastAsia" w:asciiTheme="minorEastAsia" w:hAnsiTheme="minorEastAsia" w:eastAsiaTheme="minorEastAsia" w:cstheme="minorEastAsia"/>
                <w:b w:val="0"/>
                <w:bCs w:val="0"/>
                <w:kern w:val="2"/>
                <w:sz w:val="28"/>
                <w:szCs w:val="28"/>
                <w:vertAlign w:val="baseline"/>
                <w:lang w:val="en-US" w:eastAsia="zh-CN" w:bidi="ar-SA"/>
              </w:rPr>
              <w:t>1</w:t>
            </w:r>
            <w:r>
              <w:rPr>
                <w:rFonts w:hint="eastAsia" w:ascii="仿宋_GB2312" w:hAnsi="仿宋_GB2312" w:eastAsia="仿宋_GB2312" w:cs="仿宋_GB2312"/>
                <w:b w:val="0"/>
                <w:bCs w:val="0"/>
                <w:kern w:val="2"/>
                <w:sz w:val="28"/>
                <w:szCs w:val="28"/>
                <w:vertAlign w:val="baseline"/>
                <w:lang w:val="en-US" w:eastAsia="zh-CN" w:bidi="ar-SA"/>
              </w:rPr>
              <w:t>-</w:t>
            </w:r>
            <w:r>
              <w:rPr>
                <w:rFonts w:hint="eastAsia" w:asciiTheme="minorEastAsia" w:hAnsiTheme="minorEastAsia" w:eastAsiaTheme="minorEastAsia" w:cstheme="minorEastAsia"/>
                <w:b w:val="0"/>
                <w:bCs w:val="0"/>
                <w:kern w:val="2"/>
                <w:sz w:val="28"/>
                <w:szCs w:val="28"/>
                <w:vertAlign w:val="baseline"/>
                <w:lang w:val="en-US" w:eastAsia="zh-CN" w:bidi="ar-SA"/>
              </w:rPr>
              <w:t>10</w:t>
            </w:r>
            <w:r>
              <w:rPr>
                <w:rFonts w:hint="eastAsia" w:ascii="仿宋_GB2312" w:hAnsi="仿宋_GB2312" w:eastAsia="仿宋_GB2312" w:cs="仿宋_GB2312"/>
                <w:b w:val="0"/>
                <w:bCs w:val="0"/>
                <w:kern w:val="2"/>
                <w:sz w:val="28"/>
                <w:szCs w:val="28"/>
                <w:vertAlign w:val="baseline"/>
                <w:lang w:val="en-US" w:eastAsia="zh-CN" w:bidi="ar-SA"/>
              </w:rPr>
              <w:t>）</w:t>
            </w:r>
          </w:p>
        </w:tc>
      </w:tr>
      <w:tr w14:paraId="3060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98" w:type="pct"/>
            <w:vMerge w:val="continue"/>
            <w:noWrap w:val="0"/>
            <w:vAlign w:val="center"/>
          </w:tcPr>
          <w:p w14:paraId="704EEB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tc>
        <w:tc>
          <w:tcPr>
            <w:tcW w:w="1340" w:type="pct"/>
            <w:noWrap w:val="0"/>
            <w:vAlign w:val="center"/>
          </w:tcPr>
          <w:p w14:paraId="73DA81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所在岗位</w:t>
            </w:r>
          </w:p>
        </w:tc>
        <w:tc>
          <w:tcPr>
            <w:tcW w:w="1637" w:type="pct"/>
            <w:noWrap w:val="0"/>
            <w:vAlign w:val="center"/>
          </w:tcPr>
          <w:p w14:paraId="2D7F0C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default" w:ascii="仿宋_GB2312" w:hAnsi="仿宋_GB2312" w:eastAsia="仿宋_GB2312" w:cs="仿宋_GB2312"/>
                <w:b w:val="0"/>
                <w:bCs w:val="0"/>
                <w:kern w:val="2"/>
                <w:sz w:val="28"/>
                <w:szCs w:val="28"/>
                <w:vertAlign w:val="baseline"/>
                <w:lang w:eastAsia="zh-CN" w:bidi="ar-SA"/>
              </w:rPr>
              <w:t>事故</w:t>
            </w:r>
            <w:r>
              <w:rPr>
                <w:rFonts w:hint="eastAsia" w:ascii="仿宋_GB2312" w:hAnsi="仿宋_GB2312" w:eastAsia="仿宋_GB2312" w:cs="仿宋_GB2312"/>
                <w:b w:val="0"/>
                <w:bCs w:val="0"/>
                <w:kern w:val="2"/>
                <w:sz w:val="28"/>
                <w:szCs w:val="28"/>
                <w:vertAlign w:val="baseline"/>
                <w:lang w:val="en-US" w:eastAsia="zh-CN" w:bidi="ar-SA"/>
              </w:rPr>
              <w:t>类型</w:t>
            </w:r>
          </w:p>
        </w:tc>
        <w:tc>
          <w:tcPr>
            <w:tcW w:w="1224" w:type="pct"/>
            <w:vMerge w:val="continue"/>
            <w:noWrap w:val="0"/>
            <w:vAlign w:val="center"/>
          </w:tcPr>
          <w:p w14:paraId="12061E3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tc>
      </w:tr>
      <w:tr w14:paraId="2D19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98" w:type="pct"/>
            <w:vMerge w:val="restart"/>
            <w:noWrap w:val="0"/>
            <w:vAlign w:val="center"/>
          </w:tcPr>
          <w:p w14:paraId="158506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用人单位</w:t>
            </w:r>
          </w:p>
          <w:p w14:paraId="5818E4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工伤预防情况</w:t>
            </w:r>
          </w:p>
        </w:tc>
        <w:tc>
          <w:tcPr>
            <w:tcW w:w="1340" w:type="pct"/>
            <w:noWrap w:val="0"/>
            <w:vAlign w:val="center"/>
          </w:tcPr>
          <w:p w14:paraId="52E43B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单位名称</w:t>
            </w:r>
          </w:p>
        </w:tc>
        <w:tc>
          <w:tcPr>
            <w:tcW w:w="1637" w:type="pct"/>
            <w:noWrap w:val="0"/>
            <w:vAlign w:val="center"/>
          </w:tcPr>
          <w:p w14:paraId="04690D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工亡人数</w:t>
            </w:r>
          </w:p>
        </w:tc>
        <w:tc>
          <w:tcPr>
            <w:tcW w:w="1224" w:type="pct"/>
            <w:vMerge w:val="restart"/>
            <w:noWrap w:val="0"/>
            <w:vAlign w:val="center"/>
          </w:tcPr>
          <w:p w14:paraId="5CCB68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p w14:paraId="306A201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单位工伤发生率</w:t>
            </w:r>
          </w:p>
          <w:p w14:paraId="3176320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p>
        </w:tc>
      </w:tr>
      <w:tr w14:paraId="7BB55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98" w:type="pct"/>
            <w:vMerge w:val="continue"/>
            <w:noWrap w:val="0"/>
            <w:vAlign w:val="center"/>
          </w:tcPr>
          <w:p w14:paraId="123B025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Calibri" w:hAnsi="Calibri" w:eastAsia="宋体" w:cs="Times New Roman"/>
                <w:sz w:val="28"/>
                <w:szCs w:val="28"/>
              </w:rPr>
            </w:pPr>
          </w:p>
        </w:tc>
        <w:tc>
          <w:tcPr>
            <w:tcW w:w="1340" w:type="pct"/>
            <w:noWrap w:val="0"/>
            <w:vAlign w:val="center"/>
          </w:tcPr>
          <w:p w14:paraId="2274E9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所属行业</w:t>
            </w:r>
          </w:p>
        </w:tc>
        <w:tc>
          <w:tcPr>
            <w:tcW w:w="1637" w:type="pct"/>
            <w:noWrap w:val="0"/>
            <w:vAlign w:val="center"/>
          </w:tcPr>
          <w:p w14:paraId="0F0FD0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工伤人数</w:t>
            </w:r>
          </w:p>
        </w:tc>
        <w:tc>
          <w:tcPr>
            <w:tcW w:w="1224" w:type="pct"/>
            <w:vMerge w:val="continue"/>
            <w:noWrap w:val="0"/>
            <w:vAlign w:val="center"/>
          </w:tcPr>
          <w:p w14:paraId="56457DC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tc>
      </w:tr>
      <w:tr w14:paraId="5499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98" w:type="pct"/>
            <w:vMerge w:val="continue"/>
            <w:noWrap w:val="0"/>
            <w:vAlign w:val="center"/>
          </w:tcPr>
          <w:p w14:paraId="64DD13E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tc>
        <w:tc>
          <w:tcPr>
            <w:tcW w:w="1340" w:type="pct"/>
            <w:noWrap w:val="0"/>
            <w:vAlign w:val="center"/>
          </w:tcPr>
          <w:p w14:paraId="25FD455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参保人数</w:t>
            </w:r>
          </w:p>
        </w:tc>
        <w:tc>
          <w:tcPr>
            <w:tcW w:w="1637" w:type="pct"/>
            <w:noWrap w:val="0"/>
            <w:vAlign w:val="center"/>
          </w:tcPr>
          <w:p w14:paraId="1576D61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Theme="minorEastAsia" w:hAnsiTheme="minorEastAsia" w:eastAsiaTheme="minorEastAsia" w:cstheme="minorEastAsia"/>
                <w:b w:val="0"/>
                <w:bCs w:val="0"/>
                <w:kern w:val="2"/>
                <w:sz w:val="28"/>
                <w:szCs w:val="28"/>
                <w:vertAlign w:val="baseline"/>
                <w:lang w:val="en-US" w:eastAsia="zh-CN" w:bidi="ar-SA"/>
              </w:rPr>
              <w:t>1</w:t>
            </w:r>
            <w:r>
              <w:rPr>
                <w:rFonts w:hint="eastAsia" w:ascii="仿宋_GB2312" w:hAnsi="仿宋_GB2312" w:eastAsia="仿宋_GB2312" w:cs="仿宋_GB2312"/>
                <w:b w:val="0"/>
                <w:bCs w:val="0"/>
                <w:kern w:val="2"/>
                <w:sz w:val="28"/>
                <w:szCs w:val="28"/>
                <w:vertAlign w:val="baseline"/>
                <w:lang w:val="en-US" w:eastAsia="zh-CN" w:bidi="ar-SA"/>
              </w:rPr>
              <w:t>-</w:t>
            </w:r>
            <w:r>
              <w:rPr>
                <w:rFonts w:hint="eastAsia" w:asciiTheme="minorEastAsia" w:hAnsiTheme="minorEastAsia" w:eastAsiaTheme="minorEastAsia" w:cstheme="minorEastAsia"/>
                <w:b w:val="0"/>
                <w:bCs w:val="0"/>
                <w:kern w:val="2"/>
                <w:sz w:val="28"/>
                <w:szCs w:val="28"/>
                <w:vertAlign w:val="baseline"/>
                <w:lang w:val="en-US" w:eastAsia="zh-CN" w:bidi="ar-SA"/>
              </w:rPr>
              <w:t>10</w:t>
            </w:r>
            <w:r>
              <w:rPr>
                <w:rFonts w:hint="eastAsia" w:ascii="仿宋_GB2312" w:hAnsi="仿宋_GB2312" w:eastAsia="仿宋_GB2312" w:cs="仿宋_GB2312"/>
                <w:b w:val="0"/>
                <w:bCs w:val="0"/>
                <w:kern w:val="2"/>
                <w:sz w:val="28"/>
                <w:szCs w:val="28"/>
                <w:vertAlign w:val="baseline"/>
                <w:lang w:val="en-US" w:eastAsia="zh-CN" w:bidi="ar-SA"/>
              </w:rPr>
              <w:t>级伤残人数</w:t>
            </w:r>
          </w:p>
        </w:tc>
        <w:tc>
          <w:tcPr>
            <w:tcW w:w="1224" w:type="pct"/>
            <w:vMerge w:val="continue"/>
            <w:noWrap w:val="0"/>
            <w:vAlign w:val="center"/>
          </w:tcPr>
          <w:p w14:paraId="0B541A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tc>
      </w:tr>
      <w:tr w14:paraId="52FF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98" w:type="pct"/>
            <w:vMerge w:val="restart"/>
            <w:noWrap w:val="0"/>
            <w:vAlign w:val="center"/>
          </w:tcPr>
          <w:p w14:paraId="3E6C7B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地区</w:t>
            </w:r>
          </w:p>
          <w:p w14:paraId="7EF44E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工伤预防情况</w:t>
            </w:r>
          </w:p>
        </w:tc>
        <w:tc>
          <w:tcPr>
            <w:tcW w:w="1340" w:type="pct"/>
            <w:noWrap w:val="0"/>
            <w:vAlign w:val="center"/>
          </w:tcPr>
          <w:p w14:paraId="52CC6E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eastAsia="zh-CN" w:bidi="ar-SA"/>
              </w:rPr>
            </w:pPr>
            <w:r>
              <w:rPr>
                <w:rFonts w:hint="eastAsia" w:ascii="仿宋_GB2312" w:hAnsi="仿宋_GB2312" w:eastAsia="仿宋_GB2312" w:cs="仿宋_GB2312"/>
                <w:b w:val="0"/>
                <w:bCs w:val="0"/>
                <w:kern w:val="2"/>
                <w:sz w:val="28"/>
                <w:szCs w:val="28"/>
                <w:vertAlign w:val="baseline"/>
                <w:lang w:val="en-US" w:eastAsia="zh-CN" w:bidi="ar-SA"/>
              </w:rPr>
              <w:t>上一年度征缴收入</w:t>
            </w:r>
          </w:p>
        </w:tc>
        <w:tc>
          <w:tcPr>
            <w:tcW w:w="1637" w:type="pct"/>
            <w:noWrap w:val="0"/>
            <w:vAlign w:val="center"/>
          </w:tcPr>
          <w:p w14:paraId="3CCE97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工伤预防项目总数</w:t>
            </w:r>
          </w:p>
        </w:tc>
        <w:tc>
          <w:tcPr>
            <w:tcW w:w="1224" w:type="pct"/>
            <w:vMerge w:val="restart"/>
            <w:noWrap w:val="0"/>
            <w:vAlign w:val="center"/>
          </w:tcPr>
          <w:p w14:paraId="239846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地区工伤发生率</w:t>
            </w:r>
          </w:p>
        </w:tc>
      </w:tr>
      <w:tr w14:paraId="2B6E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98" w:type="pct"/>
            <w:vMerge w:val="continue"/>
            <w:noWrap w:val="0"/>
            <w:vAlign w:val="center"/>
          </w:tcPr>
          <w:p w14:paraId="3AC878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Calibri" w:hAnsi="Calibri" w:eastAsia="宋体" w:cs="Times New Roman"/>
                <w:sz w:val="28"/>
                <w:szCs w:val="28"/>
              </w:rPr>
            </w:pPr>
          </w:p>
        </w:tc>
        <w:tc>
          <w:tcPr>
            <w:tcW w:w="1340" w:type="pct"/>
            <w:noWrap w:val="0"/>
            <w:vAlign w:val="center"/>
          </w:tcPr>
          <w:p w14:paraId="236CD57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eastAsia="zh-CN" w:bidi="ar-SA"/>
              </w:rPr>
            </w:pPr>
            <w:r>
              <w:rPr>
                <w:rFonts w:hint="eastAsia" w:ascii="仿宋_GB2312" w:hAnsi="仿宋_GB2312" w:eastAsia="仿宋_GB2312" w:cs="仿宋_GB2312"/>
                <w:b w:val="0"/>
                <w:bCs w:val="0"/>
                <w:kern w:val="2"/>
                <w:sz w:val="28"/>
                <w:szCs w:val="28"/>
                <w:vertAlign w:val="baseline"/>
                <w:lang w:val="en-US" w:eastAsia="zh-CN" w:bidi="ar-SA"/>
              </w:rPr>
              <w:t>当年工伤预防费支出</w:t>
            </w:r>
          </w:p>
        </w:tc>
        <w:tc>
          <w:tcPr>
            <w:tcW w:w="1637" w:type="pct"/>
            <w:noWrap w:val="0"/>
            <w:vAlign w:val="center"/>
          </w:tcPr>
          <w:p w14:paraId="6399A2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宣传项目数</w:t>
            </w:r>
          </w:p>
        </w:tc>
        <w:tc>
          <w:tcPr>
            <w:tcW w:w="1224" w:type="pct"/>
            <w:vMerge w:val="continue"/>
            <w:noWrap w:val="0"/>
            <w:vAlign w:val="center"/>
          </w:tcPr>
          <w:p w14:paraId="46B077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tc>
      </w:tr>
      <w:tr w14:paraId="2F24A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98" w:type="pct"/>
            <w:vMerge w:val="continue"/>
            <w:noWrap w:val="0"/>
            <w:vAlign w:val="center"/>
          </w:tcPr>
          <w:p w14:paraId="230D84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tc>
        <w:tc>
          <w:tcPr>
            <w:tcW w:w="1340" w:type="pct"/>
            <w:noWrap w:val="0"/>
            <w:vAlign w:val="center"/>
          </w:tcPr>
          <w:p w14:paraId="4680F5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eastAsia="zh-CN" w:bidi="ar-SA"/>
              </w:rPr>
            </w:pPr>
            <w:r>
              <w:rPr>
                <w:rFonts w:hint="eastAsia" w:ascii="仿宋_GB2312" w:hAnsi="仿宋_GB2312" w:eastAsia="仿宋_GB2312" w:cs="仿宋_GB2312"/>
                <w:b w:val="0"/>
                <w:bCs w:val="0"/>
                <w:kern w:val="2"/>
                <w:sz w:val="28"/>
                <w:szCs w:val="28"/>
                <w:vertAlign w:val="baseline"/>
                <w:lang w:val="en-US" w:eastAsia="zh-CN" w:bidi="ar-SA"/>
              </w:rPr>
              <w:t>宣传项目支出</w:t>
            </w:r>
          </w:p>
        </w:tc>
        <w:tc>
          <w:tcPr>
            <w:tcW w:w="1637" w:type="pct"/>
            <w:noWrap w:val="0"/>
            <w:vAlign w:val="center"/>
          </w:tcPr>
          <w:p w14:paraId="3DF62C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培训项目数及培训人数</w:t>
            </w:r>
          </w:p>
        </w:tc>
        <w:tc>
          <w:tcPr>
            <w:tcW w:w="1224" w:type="pct"/>
            <w:vMerge w:val="restart"/>
            <w:noWrap w:val="0"/>
            <w:vAlign w:val="center"/>
          </w:tcPr>
          <w:p w14:paraId="6A0982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地区重点行业</w:t>
            </w:r>
          </w:p>
          <w:p w14:paraId="69AE29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工伤发生率</w:t>
            </w:r>
          </w:p>
        </w:tc>
      </w:tr>
      <w:tr w14:paraId="359C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98" w:type="pct"/>
            <w:vMerge w:val="continue"/>
            <w:noWrap w:val="0"/>
            <w:vAlign w:val="center"/>
          </w:tcPr>
          <w:p w14:paraId="11D9E4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tc>
        <w:tc>
          <w:tcPr>
            <w:tcW w:w="1340" w:type="pct"/>
            <w:noWrap w:val="0"/>
            <w:vAlign w:val="center"/>
          </w:tcPr>
          <w:p w14:paraId="2F0021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eastAsia="zh-CN" w:bidi="ar-SA"/>
              </w:rPr>
            </w:pPr>
            <w:r>
              <w:rPr>
                <w:rFonts w:hint="eastAsia" w:ascii="仿宋_GB2312" w:hAnsi="仿宋_GB2312" w:eastAsia="仿宋_GB2312" w:cs="仿宋_GB2312"/>
                <w:b w:val="0"/>
                <w:bCs w:val="0"/>
                <w:kern w:val="2"/>
                <w:sz w:val="28"/>
                <w:szCs w:val="28"/>
                <w:vertAlign w:val="baseline"/>
                <w:lang w:val="en-US" w:eastAsia="zh-CN" w:bidi="ar-SA"/>
              </w:rPr>
              <w:t>培训项目支出</w:t>
            </w:r>
          </w:p>
        </w:tc>
        <w:tc>
          <w:tcPr>
            <w:tcW w:w="1637" w:type="pct"/>
            <w:noWrap w:val="0"/>
            <w:vAlign w:val="center"/>
          </w:tcPr>
          <w:p w14:paraId="20ADE5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kern w:val="2"/>
                <w:sz w:val="28"/>
                <w:szCs w:val="28"/>
                <w:vertAlign w:val="baseline"/>
                <w:lang w:val="en-US" w:eastAsia="zh-CN" w:bidi="ar-SA"/>
              </w:rPr>
              <w:t>重点行业培训项目数及培训人数</w:t>
            </w:r>
          </w:p>
        </w:tc>
        <w:tc>
          <w:tcPr>
            <w:tcW w:w="1224" w:type="pct"/>
            <w:vMerge w:val="continue"/>
            <w:noWrap w:val="0"/>
            <w:vAlign w:val="center"/>
          </w:tcPr>
          <w:p w14:paraId="018972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kern w:val="2"/>
                <w:sz w:val="28"/>
                <w:szCs w:val="28"/>
                <w:vertAlign w:val="baseline"/>
                <w:lang w:val="en-US" w:eastAsia="zh-CN" w:bidi="ar-SA"/>
              </w:rPr>
            </w:pPr>
          </w:p>
        </w:tc>
      </w:tr>
    </w:tbl>
    <w:p w14:paraId="759C9B7B">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default" w:ascii="仿宋_GB2312" w:hAnsi="仿宋_GB2312" w:cs="仿宋_GB2312"/>
          <w:sz w:val="32"/>
          <w:szCs w:val="22"/>
          <w:lang w:val="en-US" w:eastAsia="zh-CN"/>
        </w:rPr>
        <w:sectPr>
          <w:pgSz w:w="16838" w:h="11906" w:orient="landscape"/>
          <w:pgMar w:top="1531" w:right="2098" w:bottom="1531" w:left="1985" w:header="851" w:footer="1588" w:gutter="0"/>
          <w:pgNumType w:fmt="numberInDash"/>
          <w:cols w:space="425" w:num="1"/>
          <w:docGrid w:type="linesAndChars" w:linePitch="579" w:charSpace="-849"/>
        </w:sectPr>
      </w:pPr>
    </w:p>
    <w:p w14:paraId="15135DB5">
      <w:pPr>
        <w:pStyle w:val="2"/>
        <w:keepNext w:val="0"/>
        <w:keepLines w:val="0"/>
        <w:pageBreakBefore w:val="0"/>
        <w:widowControl w:val="0"/>
        <w:kinsoku/>
        <w:wordWrap/>
        <w:overflowPunct/>
        <w:topLinePunct w:val="0"/>
        <w:autoSpaceDE/>
        <w:autoSpaceDN/>
        <w:bidi w:val="0"/>
        <w:adjustRightInd/>
        <w:snapToGrid/>
        <w:spacing w:after="0" w:line="52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关于监测指标及说明：</w:t>
      </w:r>
    </w:p>
    <w:p w14:paraId="124F89E2">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heme="minorEastAsia" w:hAnsiTheme="minorEastAsia" w:eastAsiaTheme="minorEastAsia" w:cstheme="minorEastAsia"/>
          <w:sz w:val="32"/>
          <w:szCs w:val="32"/>
          <w:lang w:val="en-US" w:eastAsia="zh-CN"/>
        </w:rPr>
        <w:t>1</w:t>
      </w:r>
      <w:r>
        <w:rPr>
          <w:rFonts w:hint="eastAsia" w:ascii="仿宋_GB2312" w:hAnsi="仿宋_GB2312" w:eastAsia="仿宋_GB2312" w:cs="仿宋_GB2312"/>
          <w:sz w:val="32"/>
          <w:szCs w:val="32"/>
          <w:lang w:val="en-US" w:eastAsia="zh-CN"/>
        </w:rPr>
        <w:t>.工伤发生率=参保工伤认定人数/工伤保险参保人数；</w:t>
      </w:r>
    </w:p>
    <w:p w14:paraId="56E73925">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heme="minorEastAsia" w:hAnsiTheme="minorEastAsia" w:eastAsiaTheme="minorEastAsia" w:cstheme="minorEastAsia"/>
          <w:sz w:val="32"/>
          <w:szCs w:val="32"/>
          <w:lang w:val="en-US" w:eastAsia="zh-CN"/>
        </w:rPr>
        <w:t>2</w:t>
      </w:r>
      <w:r>
        <w:rPr>
          <w:rFonts w:hint="eastAsia" w:ascii="仿宋_GB2312" w:hAnsi="仿宋_GB2312" w:eastAsia="仿宋_GB2312" w:cs="仿宋_GB2312"/>
          <w:sz w:val="32"/>
          <w:szCs w:val="32"/>
          <w:lang w:val="en-US" w:eastAsia="zh-CN"/>
        </w:rPr>
        <w:t>.新就业形态人员职业伤害发生率=当年职业伤害人数/当年职业伤害参保人数；</w:t>
      </w:r>
    </w:p>
    <w:p w14:paraId="0A4CFAF6">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heme="minorEastAsia" w:hAnsiTheme="minorEastAsia" w:eastAsiaTheme="minorEastAsia" w:cstheme="minorEastAsia"/>
          <w:sz w:val="32"/>
          <w:szCs w:val="32"/>
          <w:lang w:val="en-US" w:eastAsia="zh-CN"/>
        </w:rPr>
        <w:t>3</w:t>
      </w:r>
      <w:r>
        <w:rPr>
          <w:rFonts w:hint="eastAsia" w:ascii="仿宋_GB2312" w:hAnsi="仿宋_GB2312" w:eastAsia="仿宋_GB2312" w:cs="仿宋_GB2312"/>
          <w:sz w:val="32"/>
          <w:szCs w:val="32"/>
          <w:lang w:val="en-US" w:eastAsia="zh-CN"/>
        </w:rPr>
        <w:t>.监测指标</w:t>
      </w:r>
      <w:r>
        <w:rPr>
          <w:rFonts w:hint="eastAsia" w:asciiTheme="minorEastAsia" w:hAnsiTheme="minorEastAsia" w:eastAsiaTheme="minorEastAsia" w:cstheme="minorEastAsia"/>
          <w:sz w:val="32"/>
          <w:szCs w:val="32"/>
          <w:lang w:val="en-US" w:eastAsia="zh-CN"/>
        </w:rPr>
        <w:t>1</w:t>
      </w:r>
      <w:r>
        <w:rPr>
          <w:rFonts w:hint="eastAsia" w:ascii="仿宋_GB2312" w:hAnsi="仿宋_GB2312" w:eastAsia="仿宋_GB2312" w:cs="仿宋_GB2312"/>
          <w:sz w:val="32"/>
          <w:szCs w:val="32"/>
          <w:lang w:val="en-US" w:eastAsia="zh-CN"/>
        </w:rPr>
        <w:t>的人员信息应包含工伤职工姓名、年龄、公民身份号码、性别、参保状态等；</w:t>
      </w:r>
    </w:p>
    <w:p w14:paraId="504B60A6">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heme="minorEastAsia" w:hAnsiTheme="minorEastAsia" w:eastAsiaTheme="minorEastAsia" w:cstheme="minorEastAsia"/>
          <w:sz w:val="32"/>
          <w:szCs w:val="32"/>
          <w:lang w:val="en-US" w:eastAsia="zh-CN"/>
        </w:rPr>
        <w:t>4</w:t>
      </w:r>
      <w:r>
        <w:rPr>
          <w:rFonts w:hint="eastAsia" w:ascii="仿宋_GB2312" w:hAnsi="仿宋_GB2312" w:eastAsia="仿宋_GB2312" w:cs="仿宋_GB2312"/>
          <w:sz w:val="32"/>
          <w:szCs w:val="32"/>
          <w:lang w:val="en-US" w:eastAsia="zh-CN"/>
        </w:rPr>
        <w:t>.监测指标</w:t>
      </w:r>
      <w:r>
        <w:rPr>
          <w:rFonts w:hint="eastAsia" w:asciiTheme="minorEastAsia" w:hAnsiTheme="minorEastAsia" w:eastAsiaTheme="minorEastAsia" w:cstheme="minorEastAsia"/>
          <w:sz w:val="32"/>
          <w:szCs w:val="32"/>
          <w:lang w:val="en-US" w:eastAsia="zh-CN"/>
        </w:rPr>
        <w:t>1</w:t>
      </w:r>
      <w:r>
        <w:rPr>
          <w:rFonts w:hint="eastAsia" w:ascii="仿宋_GB2312" w:hAnsi="仿宋_GB2312" w:eastAsia="仿宋_GB2312" w:cs="仿宋_GB2312"/>
          <w:sz w:val="32"/>
          <w:szCs w:val="32"/>
          <w:lang w:val="en-US" w:eastAsia="zh-CN"/>
        </w:rPr>
        <w:t>的所属行业按照现行有效国民经济行业分类标准执行；</w:t>
      </w:r>
    </w:p>
    <w:p w14:paraId="2F0D420D">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heme="minorEastAsia" w:hAnsiTheme="minorEastAsia" w:eastAsiaTheme="minorEastAsia" w:cstheme="minorEastAsia"/>
          <w:sz w:val="32"/>
          <w:szCs w:val="32"/>
          <w:lang w:val="en-US" w:eastAsia="zh-CN"/>
        </w:rPr>
        <w:t>5</w:t>
      </w:r>
      <w:r>
        <w:rPr>
          <w:rFonts w:hint="eastAsia" w:ascii="仿宋_GB2312" w:hAnsi="仿宋_GB2312" w:eastAsia="仿宋_GB2312" w:cs="仿宋_GB2312"/>
          <w:sz w:val="32"/>
          <w:szCs w:val="32"/>
          <w:lang w:val="en-US" w:eastAsia="zh-CN"/>
        </w:rPr>
        <w:t>.监测指标</w:t>
      </w:r>
      <w:r>
        <w:rPr>
          <w:rFonts w:hint="eastAsia" w:asciiTheme="minorEastAsia" w:hAnsiTheme="minorEastAsia" w:eastAsiaTheme="minorEastAsia" w:cstheme="minorEastAsia"/>
          <w:sz w:val="32"/>
          <w:szCs w:val="32"/>
          <w:lang w:val="en-US" w:eastAsia="zh-CN"/>
        </w:rPr>
        <w:t>2</w:t>
      </w:r>
      <w:r>
        <w:rPr>
          <w:rFonts w:hint="eastAsia" w:ascii="仿宋_GB2312" w:hAnsi="仿宋_GB2312" w:eastAsia="仿宋_GB2312" w:cs="仿宋_GB2312"/>
          <w:sz w:val="32"/>
          <w:szCs w:val="32"/>
          <w:lang w:val="en-US" w:eastAsia="zh-CN"/>
        </w:rPr>
        <w:t>的事故类型按照生产安全事故分类与编码标准（GB</w:t>
      </w:r>
      <w:r>
        <w:rPr>
          <w:rFonts w:hint="eastAsia" w:asciiTheme="minorEastAsia" w:hAnsiTheme="minorEastAsia" w:eastAsiaTheme="minorEastAsia" w:cstheme="minorEastAsia"/>
          <w:sz w:val="32"/>
          <w:szCs w:val="32"/>
          <w:lang w:val="en-US" w:eastAsia="zh-CN"/>
        </w:rPr>
        <w:t>6441</w:t>
      </w:r>
      <w:r>
        <w:rPr>
          <w:rFonts w:hint="eastAsia" w:ascii="仿宋_GB2312" w:hAnsi="仿宋_GB2312" w:eastAsia="仿宋_GB2312" w:cs="仿宋_GB2312"/>
          <w:sz w:val="32"/>
          <w:szCs w:val="32"/>
          <w:lang w:val="en-US" w:eastAsia="zh-CN"/>
        </w:rPr>
        <w:t>-</w:t>
      </w:r>
      <w:r>
        <w:rPr>
          <w:rFonts w:hint="eastAsia" w:asciiTheme="minorEastAsia" w:hAnsiTheme="minorEastAsia" w:eastAsiaTheme="minorEastAsia" w:cstheme="minorEastAsia"/>
          <w:sz w:val="32"/>
          <w:szCs w:val="32"/>
          <w:lang w:val="en-US" w:eastAsia="zh-CN"/>
        </w:rPr>
        <w:t>2025</w:t>
      </w:r>
      <w:r>
        <w:rPr>
          <w:rFonts w:hint="eastAsia" w:ascii="仿宋_GB2312" w:hAnsi="仿宋_GB2312" w:eastAsia="仿宋_GB2312" w:cs="仿宋_GB2312"/>
          <w:sz w:val="32"/>
          <w:szCs w:val="32"/>
          <w:lang w:val="en-US" w:eastAsia="zh-CN"/>
        </w:rPr>
        <w:t>）执行；</w:t>
      </w:r>
    </w:p>
    <w:p w14:paraId="43EC8894">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heme="minorEastAsia" w:hAnsiTheme="minorEastAsia" w:eastAsiaTheme="minorEastAsia" w:cstheme="minorEastAsia"/>
          <w:sz w:val="32"/>
          <w:szCs w:val="32"/>
          <w:lang w:val="en-US" w:eastAsia="zh-CN"/>
        </w:rPr>
        <w:t>6</w:t>
      </w:r>
      <w:r>
        <w:rPr>
          <w:rFonts w:hint="eastAsia" w:ascii="仿宋_GB2312" w:hAnsi="仿宋_GB2312" w:eastAsia="仿宋_GB2312" w:cs="仿宋_GB2312"/>
          <w:sz w:val="32"/>
          <w:szCs w:val="32"/>
          <w:lang w:val="en-US" w:eastAsia="zh-CN"/>
        </w:rPr>
        <w:t>.监测指标</w:t>
      </w:r>
      <w:r>
        <w:rPr>
          <w:rFonts w:hint="eastAsia" w:asciiTheme="minorEastAsia" w:hAnsiTheme="minorEastAsia" w:eastAsiaTheme="minorEastAsia" w:cstheme="minorEastAsia"/>
          <w:sz w:val="32"/>
          <w:szCs w:val="32"/>
          <w:lang w:val="en-US" w:eastAsia="zh-CN"/>
        </w:rPr>
        <w:t>3</w:t>
      </w:r>
      <w:r>
        <w:rPr>
          <w:rFonts w:hint="eastAsia" w:ascii="仿宋_GB2312" w:hAnsi="仿宋_GB2312" w:eastAsia="仿宋_GB2312" w:cs="仿宋_GB2312"/>
          <w:sz w:val="32"/>
          <w:szCs w:val="32"/>
          <w:lang w:val="en-US" w:eastAsia="zh-CN"/>
        </w:rPr>
        <w:t>的工伤认定情形是指《工伤保险条例》第</w:t>
      </w:r>
      <w:r>
        <w:rPr>
          <w:rFonts w:hint="eastAsia" w:asciiTheme="minorEastAsia" w:hAnsiTheme="minorEastAsia" w:eastAsiaTheme="minorEastAsia" w:cstheme="minorEastAsia"/>
          <w:sz w:val="32"/>
          <w:szCs w:val="32"/>
          <w:lang w:val="en-US" w:eastAsia="zh-CN"/>
        </w:rPr>
        <w:t>14</w:t>
      </w:r>
      <w:r>
        <w:rPr>
          <w:rFonts w:hint="eastAsia" w:ascii="仿宋_GB2312" w:hAnsi="仿宋_GB2312" w:eastAsia="仿宋_GB2312" w:cs="仿宋_GB2312"/>
          <w:sz w:val="32"/>
          <w:szCs w:val="32"/>
          <w:lang w:val="en-US" w:eastAsia="zh-CN"/>
        </w:rPr>
        <w:t>和</w:t>
      </w:r>
      <w:r>
        <w:rPr>
          <w:rFonts w:hint="eastAsia" w:asciiTheme="minorEastAsia" w:hAnsiTheme="minorEastAsia" w:eastAsiaTheme="minorEastAsia" w:cstheme="minorEastAsia"/>
          <w:sz w:val="32"/>
          <w:szCs w:val="32"/>
          <w:lang w:val="en-US" w:eastAsia="zh-CN"/>
        </w:rPr>
        <w:t>15</w:t>
      </w:r>
      <w:r>
        <w:rPr>
          <w:rFonts w:hint="eastAsia" w:ascii="仿宋_GB2312" w:hAnsi="仿宋_GB2312" w:eastAsia="仿宋_GB2312" w:cs="仿宋_GB2312"/>
          <w:sz w:val="32"/>
          <w:szCs w:val="32"/>
          <w:lang w:val="en-US" w:eastAsia="zh-CN"/>
        </w:rPr>
        <w:t>条规定的情形；</w:t>
      </w:r>
    </w:p>
    <w:p w14:paraId="45D10BD4">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heme="minorEastAsia" w:hAnsiTheme="minorEastAsia" w:eastAsiaTheme="minorEastAsia" w:cstheme="minorEastAsia"/>
          <w:sz w:val="32"/>
          <w:szCs w:val="32"/>
          <w:lang w:val="en-US" w:eastAsia="zh-CN"/>
        </w:rPr>
        <w:t>7</w:t>
      </w:r>
      <w:r>
        <w:rPr>
          <w:rFonts w:hint="eastAsia" w:ascii="仿宋_GB2312" w:hAnsi="仿宋_GB2312" w:eastAsia="仿宋_GB2312" w:cs="仿宋_GB2312"/>
          <w:sz w:val="32"/>
          <w:szCs w:val="32"/>
          <w:lang w:val="en-US" w:eastAsia="zh-CN"/>
        </w:rPr>
        <w:t>.监测指标不需要由个人或用人单位填报，优先通过社会保险生产数据、统计调查数据、工作情况获取。用人单位工伤预防情况监测关注发生工伤事故或实施工伤预防项目的用人单位，没有发生事故的单位不需要监测；</w:t>
      </w:r>
    </w:p>
    <w:p w14:paraId="7C60B939">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heme="minorEastAsia" w:hAnsiTheme="minorEastAsia" w:eastAsiaTheme="minorEastAsia" w:cstheme="minorEastAsia"/>
          <w:sz w:val="32"/>
          <w:szCs w:val="32"/>
          <w:lang w:val="en-US" w:eastAsia="zh-CN"/>
        </w:rPr>
        <w:t>8</w:t>
      </w:r>
      <w:r>
        <w:rPr>
          <w:rFonts w:hint="eastAsia" w:ascii="仿宋_GB2312" w:hAnsi="仿宋_GB2312" w:eastAsia="仿宋_GB2312" w:cs="仿宋_GB2312"/>
          <w:sz w:val="32"/>
          <w:szCs w:val="32"/>
          <w:lang w:val="en-US" w:eastAsia="zh-CN"/>
        </w:rPr>
        <w:t>.地区工伤预防开展情况监测指标由社会保险行政或者经办部门根据实际按年度监测；</w:t>
      </w:r>
    </w:p>
    <w:p w14:paraId="47B780A4">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heme="minorEastAsia" w:hAnsiTheme="minorEastAsia" w:eastAsiaTheme="minorEastAsia" w:cstheme="minorEastAsia"/>
          <w:sz w:val="32"/>
          <w:szCs w:val="32"/>
          <w:lang w:val="en-US" w:eastAsia="zh-CN"/>
        </w:rPr>
        <w:t>9</w:t>
      </w:r>
      <w:r>
        <w:rPr>
          <w:rFonts w:hint="eastAsia" w:ascii="仿宋_GB2312" w:hAnsi="仿宋_GB2312" w:eastAsia="仿宋_GB2312" w:cs="仿宋_GB2312"/>
          <w:sz w:val="32"/>
          <w:szCs w:val="32"/>
          <w:lang w:val="en-US" w:eastAsia="zh-CN"/>
        </w:rPr>
        <w:t>.根据工作需要开展监测，监测数据用于工伤预防项目确定、实施、评估等工作，做好信息保护，监测数据不对外公开发布；</w:t>
      </w:r>
    </w:p>
    <w:p w14:paraId="426831EB">
      <w:pPr>
        <w:pStyle w:val="2"/>
        <w:keepNext w:val="0"/>
        <w:keepLines w:val="0"/>
        <w:pageBreakBefore w:val="0"/>
        <w:widowControl w:val="0"/>
        <w:kinsoku/>
        <w:wordWrap/>
        <w:overflowPunct/>
        <w:topLinePunct w:val="0"/>
        <w:autoSpaceDE/>
        <w:autoSpaceDN/>
        <w:bidi w:val="0"/>
        <w:adjustRightInd/>
        <w:snapToGrid/>
        <w:spacing w:after="0"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heme="minorEastAsia" w:hAnsiTheme="minorEastAsia" w:eastAsiaTheme="minorEastAsia" w:cstheme="minorEastAsia"/>
          <w:sz w:val="32"/>
          <w:szCs w:val="32"/>
          <w:lang w:val="en-US" w:eastAsia="zh-CN"/>
        </w:rPr>
        <w:t>10</w:t>
      </w:r>
      <w:r>
        <w:rPr>
          <w:rFonts w:hint="eastAsia" w:ascii="仿宋_GB2312" w:hAnsi="仿宋_GB2312" w:eastAsia="仿宋_GB2312" w:cs="仿宋_GB2312"/>
          <w:sz w:val="32"/>
          <w:szCs w:val="32"/>
          <w:lang w:val="en-US" w:eastAsia="zh-CN"/>
        </w:rPr>
        <w:t>.监测指标中征缴收入、工伤预防费支出的单位为万元，工伤预防项目数的单位为个。</w:t>
      </w:r>
    </w:p>
    <w:p w14:paraId="6E2981E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035F84"/>
    <w:rsid w:val="49035F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next w:val="1"/>
    <w:qFormat/>
    <w:uiPriority w:val="0"/>
    <w:pPr>
      <w:widowControl w:val="0"/>
      <w:spacing w:after="120" w:afterLines="0"/>
      <w:jc w:val="both"/>
    </w:pPr>
    <w:rPr>
      <w:rFonts w:ascii="Calibri" w:hAnsi="Calibri" w:eastAsia="宋体" w:cs="Times New Roman"/>
      <w:kern w:val="0"/>
      <w:sz w:val="20"/>
      <w:szCs w:val="20"/>
      <w:lang w:val="en-US" w:eastAsia="zh-CN" w:bidi="ar-SA"/>
    </w:rPr>
  </w:style>
  <w:style w:type="paragraph" w:styleId="3">
    <w:name w:val="footer"/>
    <w:basedOn w:val="1"/>
    <w:unhideWhenUsed/>
    <w:qFormat/>
    <w:uiPriority w:val="99"/>
    <w:pPr>
      <w:tabs>
        <w:tab w:val="center" w:pos="4153"/>
        <w:tab w:val="right" w:pos="8306"/>
      </w:tabs>
      <w:snapToGrid w:val="0"/>
      <w:jc w:val="left"/>
    </w:pPr>
    <w:rPr>
      <w:sz w:val="18"/>
      <w:szCs w:val="18"/>
    </w:rPr>
  </w:style>
  <w:style w:type="table" w:styleId="5">
    <w:name w:val="Table Grid"/>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2026-10-23T09:02:00Z</dcterms:created>
  <dc:creator>水北</dc:creator>
  <cp:lastModifiedBy>水北</cp:lastModifiedBy>
  <dcterms:modified xsi:type="dcterms:W3CDTF">2026-10-23T09:02:56Z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22BF9A05A0CB4CA08A161B8AD1F26DC8_11</vt:lpwstr>
  </property>
  <property fmtid="{D5CDD505-2E9C-101B-9397-08002B2CF9AE}" pid="4" name="KSOTemplateDocerSaveRecord">
    <vt:lpwstr>eyJoZGlkIjoiMGNkMDc3ZjRiZWEwZWViZDdhZDIyYTA4N2E0Njk4NWMiLCJ1c2VySWQiOiI0MDgxMDIyODkifQ==</vt:lpwstr>
  </property>
</Properties>
</file>