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三明市职业技能竞赛管理办法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第一章 </w:t>
      </w: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rPr>
        <w:t>为充分发挥职业技能竞赛在技能人才评价、选拔、激励方面的引领示范作用，完善高技能人才选拔机制，进一步加强我市各类职业技能竞赛统筹管理，规范职业技能竞赛活动，推动高技能人才队伍发展壮大，根据《中华人民共和国劳动法》及《人力资源社会保障部关于改革完善技能人才评价制度的意见》（人社部发﹝2019﹞90号）、《福建省人力资源和社会保障厅 福建省财政厅关于印发&lt;福建省职业技能竞赛管理办法&gt;的通知》（ 闽人社发〔2021〕5号）等文件精神，结合我市实际情况，制定本办法。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rPr>
        <w:t>职业技能竞赛（以下称竞赛）活动是依据国家职业标准，根据国家经济社会发展对高技能人才的需要以及生产、服务工作的需求，以考核操作技能为主要内容开展的群众性活动。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rPr>
        <w:t>举办竞赛活动，应坚持社会效益为主，坚持公开、公平、公正的原则，与职业技能培训、职业技能人才评价、员工业绩考核、企业生产与技术革新紧密结合。竞赛计划、竞赛技术文件、竞赛结果等应当通过政务网站等形式向社会公开。竞赛过程及竞赛结果可邀请公证部门进行公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rPr>
        <w:t>举办竞赛活动，应当本着勤俭节约的原则进行，根据相关规定采取主办单位出资、社会赞助等多种方式筹措资金，竞赛经费应当专款专用，并接受社会和有关部门的监督。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rPr>
        <w:t>本办法适用于市级一类、二类竞赛活动及其管理，县（市、区）级一类竞赛可参照市级二类赛执行。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级一类竞赛为市人社局组织或会同市级以上有关部门共同组织的竞赛，可冠以“三明市×××职业技能竞赛”等名称。市级二类竞赛为市级单一行业组织的竞赛，可冠以“三明市×××行业×××职业技能竞赛”等名称；县（市、区）级一类竞赛为县（市、区）级人社局组织或会同有关部门共同组织的竞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rPr>
        <w:t>市人社局作为全市职业技能竞赛的综合管理部门，牵头成立领导小组，下设三明市职业技能竞赛管理办公室（设在三明市职业技能鉴定指导中心）负责竞赛日常工作。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rPr>
        <w:t>竞赛实行牵头主办单位负责制，对竞赛全过程履行主体责任。联合举办的，应明确各主办单位和承办单位及各自职责。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竞赛牵头主办单位的主要职责是：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（一）制定竞赛实施方案和技术规则，确定承办单位并指导落实有关事项；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（二）负责竞赛整体安排和组织管理；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（三）组织相关单位参赛，审核参赛选手资格；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（四）负责竞赛事项的协调联络；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（五）负责竞赛经费筹集、管理。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rPr>
        <w:t>竞赛组织委员会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举办具体竞赛活动应成立由主办单位和牵头承办单位负责人参加的临时性组织机构竞赛组织委员会（以下称组委会），全面负责每场竞赛的组织领导工作，组委会下设组委会办公室具体负责每场竞赛的实施工作。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组委会办公室应成立专门监督仲裁工作组和技术工作组。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（一）监督仲裁工作组负责督促竞赛规范实施，监督裁判人员执裁工作等，受理申诉并进行仲裁。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技术工作组负责竞赛的技术工作。主要包括制订竞赛规则、评分标准及竞赛技术性文件；对竞赛各环节技术工作提出规范要求；负责竞赛裁判员培训、说明会组织、竞赛成绩分析、赛事技术点评、赛事成果转化以及竞赛组委会安排的竞赛仲裁工作等。为保证竞赛命题的公正性和保密性，技术工作组下设命题组，负责竞赛命题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rPr>
        <w:t>竞赛执委会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牵头承办单位应成立竞赛执委会，负责竞赛具体赛务的组织实施。设立相应工作组，负责落实竞赛赛务具体组织、技术实施、开（闭）幕式活动准备工作、交通食宿服务、健康安全服务保障等，并负责提供竞赛场地、设备等物质条件以及其他必要的后勤服务。组织编制《赛务手册》，并为参赛选手购买参赛期间人身意外伤害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竞赛执委会在竞赛技术工作组的指导下，实施竞赛技术保障。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备案立项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rPr>
        <w:t>竞赛活动实行申报、备案、发布制度。举办市级竞赛活动，应向市职业技能竞赛管理办公室申报。市级竞赛的主办、承办单位应具备以下条件：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（一）能够独立承担民事责任；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（二）有与竞赛组织工作要求相适应的组织机构和管理人员；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（三）有与竞赛水平相适应的专家队伍并能按要求完成相应的赛务工作；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（四）有完善的竞赛实施方案、竞赛规则、评分方法和标准；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（五）有与竞赛规模相适应的经费支持；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（六）具有竞赛所需的场所、设施设备、工具、检测仪器和信息化管理系统等，有完善的赛务、安全、环保等保障措施；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（七）举办竞赛的职业工种应为竞赛主办单位的主营（主责、教学）的职业工种。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rPr>
        <w:t>竞赛活动的实施期限以自然年划分，各类竞赛活动应在竞赛实施期限内结束并确认竞赛结果，确保竞赛在自然年内组织完成。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rPr>
        <w:t>主办单位应在启动竞赛前一个月向市职业技能竞赛管理办公室报送以下材料：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（一）竞赛组织委员会及组委会办公室成员名单；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（二）竞赛活动所需场地、设备、技术检测手段等情况简介；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（三）竞赛经费预算和运作方案。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rPr>
        <w:t>竞赛主办单位拟邀请境外机构和人员参与竞赛活动的，应提前一个月向市职业技能竞赛管理办公室报备。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rPr>
        <w:t>主办单位有下列情况之一的，市职业技能竞赛管理办公室有权暂停其举办资格：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（一）未经有关部门的同意，擅自更改竞赛时间、地点、名称的；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（二）未按竞赛规则和组织方案的规定，擅自变更竞赛内容的；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（三）组织管理不善，在竞赛过程中造成重大事故的；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（四）未按照竞赛规则、竞赛评判标准做到公平、公开、公正，营私舞弊，成绩失实，造成恶劣影响的；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（五）其他违反国家法律、法规的。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第十五条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 同一职业工种市级一类竞赛每两年举办一次，二类竞赛可每年举办一次。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市级一类竞赛决赛每个项目（工种）参赛人数一般为20－50人，须有6个县（市、区）以上派队参赛；市级二类竞赛决赛每个项目（工种）参赛人数一般为20－50人，须3个县（市、区）以上派队参赛。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rPr>
        <w:t>举办竞赛活动，应严格按照国家职业标准组织实施竞赛活动，同时可根据竞赛职业工种的实际情况，适当参照世界技能大赛的标准组织。市级一类赛职业工种范围应为国家职业标准中设有高级工（三级）及以上等级的职业工种；市级二类赛职业工种范围应为国家职业标准中设有中级级工（四级）及以上等级的职业工种。专项职业能力竞赛按照《福建省专项职业能力考核规范》标准组织，职业工种范围应在《福建省专项职业能力考核目录》内。竞赛规则要逐步与世界技能大赛要求相衔接，借鉴世界技能大赛先进理念和经验做法，改进组织模式，科学规范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参赛选手资格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市级一类赛参赛选手一般应持有参赛选手一般应持有中级技能等级证书（职业资格、职业技能等级）或助理级以上职称的，未取得的，应从事本职业工作5年以上，经单位推荐，相关主管部门同意方可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（二）市级二类赛参赛选手一般应持有初级职业资格证书（或职业技能等级证书）</w:t>
      </w:r>
      <w:r>
        <w:rPr>
          <w:rFonts w:hint="eastAsia" w:ascii="仿宋_GB2312" w:hAnsi="仿宋_GB2312" w:cs="仿宋_GB2312"/>
          <w:lang w:eastAsia="zh-CN"/>
        </w:rPr>
        <w:t>；</w:t>
      </w:r>
      <w:r>
        <w:rPr>
          <w:rFonts w:hint="eastAsia" w:ascii="仿宋_GB2312" w:hAnsi="仿宋_GB2312" w:eastAsia="仿宋_GB2312" w:cs="仿宋_GB2312"/>
        </w:rPr>
        <w:t>未取得的，应从事本职业工作1年以上，经单位推荐，相关主管部门同意方可参赛。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竞赛要与群众性岗位练兵相结合。参加竞赛的决赛选手必须经过选拔产生。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rPr>
        <w:t>竞赛裁判员条件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（一）拥护党的领导，政治立场坚定，热爱本职工作，具有良好的职业道德和心理素质；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（二）从事本职业工种工作5年以上，并在该职业工种技术、技能方面获得较高声誉；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（三）具有本职业工种技师以上技能等级或本专业中级以上专业技术职称；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（四）原则上年龄应在65周岁以下，身体健康，能够胜任裁判工作；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（五）能够自觉坚持公平、公正原则，秉公执法，不徇私情；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（六）具有较高的裁判理论水平和丰富的实践操作经验，熟练掌握竞赛规则，现场运用准确、得当；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（七）每一竞赛职业工种裁判人数不得少于3人，具体人数由技术工作组提出。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rPr>
        <w:t>竞赛裁判人员的推荐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裁判人员一般应从竞赛职业（工种）的主管行业中，自下而上选择推荐工程技术人员、职业院校（技工院校）教师和企业具有技师或相关专业中级职称以上的专家担任；具有竞赛职业（工种）考评员资格的人员以及历届竞赛成绩优异的选手，可优先进入候选裁判库。竞赛组委会办公室负责推荐裁判候选人员工作，按技术工作组提出的所需裁判人数一倍以上，组建裁判员候选库，在竞赛监督工作组的监督下，随机抽取竞赛裁判员，并报市职业技能竞赛管理办公室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rPr>
        <w:t>竞赛活动按照国家职业标准设置组织命题。采取以实际操作比赛为主的原则，可附加理论知识考试。竞赛试卷根据实际需要组织相关技术专家出题，也可从职业技能鉴定国家题库中随机抽取试题。竞赛在理论知识和实际操作命题时，应明确其各自所占比例。一般情况下，实际操作成绩应占总成绩的70%以上。竞赛命题工作应事先制定命题组织方案，明确命题方式、任务和人员分工，提出安全保密措施和责任追究等要求。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第二十二条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承办单位在决赛前10天，向市职业技能竞赛管理办公室书面报告决赛的时间、地点以及参加各职业工种决赛选手人数等事项，并抄送市财政局。在比赛期间，市职业技能竞赛管理办公室可对比赛项目实际参赛人数、抽签、评判、成绩统计等关健环节进行督导。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第二十三条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竞赛成绩的评定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竞赛成绩由裁判组当场评定。裁判员应严格按照评分标准，科学、客观、公正地评定成绩。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rPr>
        <w:t>竞赛处理规定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若不能公正评定成绩或营私舞弊的，竞赛组委会应予取消其裁判资格，并报市职业技能竞赛管理办公室备案，今后不得再担任竞赛裁判。参赛选手不遵守竞赛纪律和规则，经查实有冒名顶替、作弊、扰乱赛场秩序等情形之一的，视情节轻重给予警告、停止比赛、取消成绩、禁赛1届、禁赛2届等处理。竞赛指导教师、专家、领队、裁判等相关人员，违反工作纪律，干预竞赛进行和结果，造成恶劣影响的，进行通报，由所在单位给予处分。竞赛有关人员涉及其他违规违纪行为，按照有关规定处理。以竞赛名义进行非法营利活动情节严重构成犯罪的，由有关部门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第五章</w:t>
      </w:r>
      <w:r>
        <w:rPr>
          <w:rFonts w:hint="eastAsia" w:ascii="黑体" w:hAnsi="黑体" w:eastAsia="黑体" w:cs="黑体"/>
          <w:sz w:val="32"/>
          <w:szCs w:val="22"/>
          <w:lang w:val="en-US" w:eastAsia="zh-CN"/>
        </w:rPr>
        <w:t xml:space="preserve">  </w:t>
      </w:r>
      <w:r>
        <w:rPr>
          <w:rFonts w:hint="eastAsia" w:ascii="黑体" w:hAnsi="黑体" w:eastAsia="黑体" w:cs="黑体"/>
          <w:sz w:val="32"/>
          <w:szCs w:val="22"/>
        </w:rPr>
        <w:t>竞赛奖补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第二十五条</w:t>
      </w:r>
      <w:r>
        <w:rPr>
          <w:rFonts w:hint="eastAsia" w:ascii="仿宋_GB2312" w:hAnsi="仿宋_GB2312" w:cs="仿宋_GB2312"/>
          <w:b/>
          <w:bCs/>
          <w:lang w:val="en-US" w:eastAsia="zh-CN"/>
        </w:rPr>
        <w:t xml:space="preserve">  </w:t>
      </w:r>
      <w:r>
        <w:rPr>
          <w:rFonts w:hint="eastAsia" w:ascii="仿宋_GB2312" w:hAnsi="仿宋_GB2312" w:eastAsia="仿宋_GB2312" w:cs="仿宋_GB2312"/>
          <w:b/>
          <w:bCs/>
        </w:rPr>
        <w:t> </w:t>
      </w:r>
      <w:r>
        <w:rPr>
          <w:rFonts w:hint="eastAsia" w:ascii="仿宋_GB2312" w:hAnsi="仿宋_GB2312" w:eastAsia="仿宋_GB2312" w:cs="仿宋_GB2312"/>
        </w:rPr>
        <w:t>竞赛的奖项设置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竞赛成绩（理论或操作技能）不合格的不予参评各奖项：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（一）对市级决赛各职业（工种）竞赛设置一等奖、二等奖、三等奖；可以同时设置优胜奖，优胜奖原则上不超过参赛选手的 20%（最多不超过前10名），并对上述选手颁发相应获奖证书。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（二）对在市级一类竞赛中获得第1名的选手由市人社局授予“三明市技术能手”荣誉称号，颁发证书。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（三）对于理论和操作技能成绩考核均合格的参赛人员，可发给相应等级职业技能等级证书，申请范围和方式按省厅相关规定执行，具体如下：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1.市级一类竞赛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全市决赛各职业工种竞赛获得第1名的选手，可认定为技师技能等级，已具有技师的，可晋升高级技师技能等级（或本职业工种的最高等级）；对获得第2-10名的选手，可在原有技能等级的基础上晋升一级，最高至技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2.市级二类竞赛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对全市决赛各职业工种竞赛获得第1名的选手，可认定为高级工技能等级，已具有高级工的，可晋升技师技能等级；对获得第2-10名的选手，可在原有技能等级的基础上晋升一级，最高至高级工。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专项职业能力项目可以按市级二类竞赛。对在专项职业能力项目个人赛决赛获得第1-3名的选手，市人社局可颁发专项职业能力优秀等次证书；对决赛获得前20%名的选手（最多不超过前10名）可颁发专项职业能力良好等次证书；其他成绩合格者以前未取得专项职业能力证书的给予颁发专项职业能力合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选手在同一年度同一项目竞赛中只能晋升一次。对上述外其他的理论和操作技能成绩考核均合格的参赛选手或对接国赛仅设置操作技能考核的竞赛项目中操作技能考核成绩合格的参赛选手，市级一类赛的可认定为高级工技能等级，市级二类赛的可认定为中级工技能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（四）竞赛主办单位可会同市直相关部门，依据有关管理规定，为获奖选手申报其他奖励。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rPr>
        <w:t>竞赛奖励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（一）参赛获奖选手、专家教练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1.对代表我市参加世界技能大赛、国家级、省级大赛或一类竞赛获奖选手和专家教练（指导老师），按上级奖励资金标准的1：0.5给予配套奖励。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对在市级一类竞赛中获得第1名的选手给予6000元的奖励，第2名的选手给予5000元的奖励，第3名的选手给予4000元的奖励，第4-5名的选手给予3000元的奖励，第6-10名的选手给予2000元的奖励；对在团队赛中获得第1名的代表队给予10000元的奖励，第2名的代表队给予8000元的奖励，第3名的代表队给予6000元的奖励。奖励标准也可在上述标准范围内作适当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上述奖励，不同层级的同一竞赛项目，可按各层级竞赛分别给予奖励，市级竞赛奖励由竞赛承办单位统一申请。对获奖选手、专家教练的奖励，符合个人所得税法第四条第一款规定的，可予以免税。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（二）集训基地奖励补助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我市入选世赛国家级集训基地的技工院校、职业院校、企业，给予30万元经费补助；对入选世赛省级集训基地的给予20万元经费补助。对于培养我市选手入选世赛国家集训队的集训基地所在单位，按每个项目10万元给予配套奖励，入选世赛福建省集训队的，按每个项目5万元给予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rPr>
        <w:t>承办单位应建立竞赛档案，记录、收集、保存好登记表、花名册、成绩单等与竞赛相关的各项原始资料。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rPr>
        <w:t>竞赛项目经费补助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（一）市级财政对按本办法备案立项并向社会公布的竞赛活动经费按照总额控制，逐项审核的原则，给予适当补助。根据上年度财政补助资金绩效评价结果确定补助经费预算。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竞赛结束后，市级财政对市级一类赛按A类、B类、C类三档分别给予10万、8万、5万元补助。市级二类赛依申请按不超过5万元予以补助。承办国家级、省级职业技能竞赛的，给予上级财政拨付的竞赛经费等额补助。竞赛实际开支费用低于竞赛补助标准的，按照实际费用给予补助，其他部门已给予补助的，不再重复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资金申请与使用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第二十九条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市人社局组织参加的国家级、省级一类赛竞赛活动选手、裁判的差旅费，按《三明市直机关差旅费管理办法》规定的标准</w:t>
      </w:r>
      <w:r>
        <w:rPr>
          <w:rFonts w:hint="eastAsia" w:ascii="仿宋_GB2312" w:hAnsi="仿宋_GB2312" w:cs="仿宋_GB2312"/>
          <w:lang w:eastAsia="zh-CN"/>
        </w:rPr>
        <w:t>，</w:t>
      </w:r>
      <w:r>
        <w:rPr>
          <w:rFonts w:hint="eastAsia" w:ascii="仿宋_GB2312" w:hAnsi="仿宋_GB2312" w:eastAsia="仿宋_GB2312" w:cs="仿宋_GB2312"/>
        </w:rPr>
        <w:t>由市级财政给予资助。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符合市级财政补助的单位向市职业技能竞赛管理办公室提交以下材料：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（一）参赛获奖选手、专家教练相关奖励申报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1.三明市职业技能竞赛奖励申请表；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2.相关获奖文件。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（二）竞赛项目经费补助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w:t>
      </w:r>
      <w:r>
        <w:rPr>
          <w:rFonts w:hint="eastAsia" w:ascii="仿宋_GB2312" w:hAnsi="仿宋_GB2312" w:eastAsia="仿宋_GB2312" w:cs="仿宋_GB2312"/>
        </w:rPr>
        <w:t>三明市职业技能竞赛经费申请表；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举办（参加）相关竞赛活动的文件；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val="en-US" w:eastAsia="zh-CN"/>
        </w:rPr>
        <w:t>.</w:t>
      </w:r>
      <w:r>
        <w:rPr>
          <w:rFonts w:hint="eastAsia" w:ascii="仿宋_GB2312" w:hAnsi="仿宋_GB2312" w:eastAsia="仿宋_GB2312" w:cs="仿宋_GB2312"/>
        </w:rPr>
        <w:t>相关费用凭证复印件（盖章）确认。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符合市级财政奖励条件的竞赛集训基地所在单位向市职业技能竞赛管理办公室提交以下材料：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（一）入选世界技能大赛集训基地奖励申请表或世界技能大赛集训基地培养选手奖励申请表；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（二）入选文件。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市职业技能竞赛管理办公室会同市财政局定期对竞赛活动进行汇总、审核奖励补助，竞赛承办单位应于竞赛结束后半年内提交申请，逾期不予审核拨补。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第三十一条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经费使用范围与标准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省、市级竞赛项目补助经费主要用于由省、市人社部门统一公布的竞赛活动。经费开支范围包括竞赛基础能力建设、赛务组织与实施保障等。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各项经费开支标准参照省、市级有关规定执行。上述经费使用应严格按照《福建省就业补助资金管理实施办法》规定的执行。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第三十二条 </w:t>
      </w:r>
      <w:r>
        <w:rPr>
          <w:rFonts w:hint="eastAsia" w:ascii="仿宋_GB2312" w:hAnsi="仿宋_GB2312" w:eastAsia="仿宋_GB2312" w:cs="仿宋_GB2312"/>
        </w:rPr>
        <w:t>本办法所需竞赛奖励和竞赛项目补助等资金从就业补助资金中列支，由市人社局负责按规定审核，并将资金拨付至符合条件的对象。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第三十三条 </w:t>
      </w:r>
      <w:r>
        <w:rPr>
          <w:rFonts w:hint="eastAsia" w:ascii="仿宋_GB2312" w:hAnsi="仿宋_GB2312" w:eastAsia="仿宋_GB2312" w:cs="仿宋_GB2312"/>
        </w:rPr>
        <w:t>竞赛承办单位要加强经费使用管理工作，专款专用，并接受财政、人社、审计等部门的监督检查，补助资金按“谁使用、谁负责”的责任追究机制。严禁造假套取财政补助资金的行为，对虚报、套取竞赛补助资金等违规行为，追回财政补助资金，并按有关规定严肃处理。对严重违纪违规的，移送监察机关立案查处。对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rPr>
        <w:t>竞赛主办单位应加大竞赛工作宣传推广力度，充分利用广播、电视、报刊、网络等新闻媒体，大力弘扬工匠精神，坚持以赛促训、以赛促建，引导广大劳动者积极参加技能竞赛，努力提升技能水平，推动高技能人才队伍高质量发展，营造劳动光荣、技能宝贵、创造伟大的良好社会氛围。牵头主、承办单位应建立竞赛档案，记录、收集、保存好登记表、花名册、成绩单等与竞赛相关的各项原始资料。竞赛结束后40天内向市职业技能竞赛管理办公室报送竞赛结果和有关竞赛的总结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第三十五条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本办法自文件印发之日起执行，如省人力资源和社会保障厅出台相关文件，可适时进行调整。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第三十六条</w:t>
      </w:r>
      <w:r>
        <w:rPr>
          <w:rFonts w:hint="eastAsia" w:ascii="仿宋_GB2312" w:hAnsi="仿宋_GB2312" w:cs="仿宋_GB2312"/>
          <w:b/>
          <w:bCs/>
          <w:lang w:val="en-US" w:eastAsia="zh-CN"/>
        </w:rPr>
        <w:t xml:space="preserve">  </w:t>
      </w:r>
      <w:r>
        <w:rPr>
          <w:rFonts w:hint="eastAsia" w:ascii="仿宋_GB2312" w:hAnsi="仿宋_GB2312" w:eastAsia="仿宋_GB2312" w:cs="仿宋_GB2312"/>
        </w:rPr>
        <w:t>本办法由市人社局负责解释，所涉及的奖励、补助条款与我市有关政策产生重叠的，按照“就高、从优、不重复”的原则执行。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附件：1.三明市职业技能竞赛项目分类</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2.三明市职业技能竞赛经费申请表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3.三明市职业技能竞赛选手报名表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4.三明市职业技能竞赛奖励申请表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5.入选世界技能大赛集训基地奖励申请表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6.世界技能大赛集训基地培养选手奖励申报表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三明市职业技能竞赛项目分类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2530" w:firstLineChars="9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A</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类</w:t>
            </w: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机械加工、大型设备安装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电力设备安装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公（道）路运输、水上运输大型机械设备操作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起重装卸机械操作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B</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类</w:t>
            </w: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机电产品、机械设备维修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输电、配电、变电设备检修、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筑路、养护维修、公（道）路运输机械设备操作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建筑砌筑、装饰装潢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工艺品加工、服装鞋帽制作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林产品制作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中、西式</w:t>
            </w:r>
            <w:r>
              <w:rPr>
                <w:rFonts w:hint="eastAsia" w:ascii="仿宋_GB2312" w:hAnsi="仿宋_GB2312" w:eastAsia="仿宋_GB2312" w:cs="仿宋_GB2312"/>
                <w:b w:val="0"/>
                <w:bCs w:val="0"/>
                <w:sz w:val="28"/>
                <w:szCs w:val="28"/>
                <w:lang w:val="en-US" w:eastAsia="zh-CN"/>
              </w:rPr>
              <w:t>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C</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类</w:t>
            </w: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商业、家政服务、旅游及酒店服务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咨询、信息服务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美容美发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p>
        </w:tc>
        <w:tc>
          <w:tcPr>
            <w:tcW w:w="4389"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废物处理</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r>
        <w:rPr>
          <w:rFonts w:hint="eastAsia" w:ascii="黑体" w:hAnsi="黑体" w:eastAsia="黑体" w:cs="黑体"/>
          <w:sz w:val="32"/>
          <w:szCs w:val="22"/>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三明市职业技能竞赛经费申请表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tbl>
      <w:tblPr>
        <w:tblStyle w:val="2"/>
        <w:tblW w:w="9000" w:type="dxa"/>
        <w:tblInd w:w="0" w:type="dxa"/>
        <w:tblLayout w:type="fixed"/>
        <w:tblCellMar>
          <w:top w:w="0" w:type="dxa"/>
          <w:left w:w="108" w:type="dxa"/>
          <w:bottom w:w="0" w:type="dxa"/>
          <w:right w:w="108" w:type="dxa"/>
        </w:tblCellMar>
      </w:tblPr>
      <w:tblGrid>
        <w:gridCol w:w="1908"/>
        <w:gridCol w:w="2592"/>
        <w:gridCol w:w="1826"/>
        <w:gridCol w:w="2674"/>
      </w:tblGrid>
      <w:tr>
        <w:tblPrEx>
          <w:tblCellMar>
            <w:top w:w="0" w:type="dxa"/>
            <w:left w:w="108" w:type="dxa"/>
            <w:bottom w:w="0" w:type="dxa"/>
            <w:right w:w="108" w:type="dxa"/>
          </w:tblCellMar>
        </w:tblPrEx>
        <w:trPr>
          <w:trHeight w:val="603" w:hRule="atLeast"/>
        </w:trPr>
        <w:tc>
          <w:tcPr>
            <w:tcW w:w="190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类别</w:t>
            </w:r>
          </w:p>
        </w:tc>
        <w:tc>
          <w:tcPr>
            <w:tcW w:w="7092" w:type="dxa"/>
            <w:gridSpan w:val="3"/>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lang w:val="en-US" w:eastAsia="zh-CN"/>
              </w:rPr>
              <w:t xml:space="preserve"> 省级竞赛（） </w:t>
            </w:r>
            <w:r>
              <w:rPr>
                <w:rFonts w:hint="eastAsia" w:ascii="宋体" w:hAnsi="宋体" w:cs="仿宋_GB2312"/>
                <w:kern w:val="0"/>
                <w:sz w:val="28"/>
                <w:szCs w:val="28"/>
              </w:rPr>
              <w:t>市级一类赛（）</w:t>
            </w:r>
            <w:r>
              <w:rPr>
                <w:rFonts w:ascii="宋体" w:hAnsi="宋体" w:cs="仿宋_GB2312"/>
                <w:kern w:val="0"/>
                <w:sz w:val="28"/>
                <w:szCs w:val="28"/>
              </w:rPr>
              <w:t xml:space="preserve"> </w:t>
            </w:r>
            <w:r>
              <w:rPr>
                <w:rFonts w:hint="eastAsia" w:ascii="宋体" w:hAnsi="宋体" w:cs="仿宋_GB2312"/>
                <w:kern w:val="0"/>
                <w:sz w:val="28"/>
                <w:szCs w:val="28"/>
              </w:rPr>
              <w:t>市级二类赛（）</w:t>
            </w:r>
          </w:p>
        </w:tc>
      </w:tr>
      <w:tr>
        <w:tblPrEx>
          <w:tblCellMar>
            <w:top w:w="0" w:type="dxa"/>
            <w:left w:w="108" w:type="dxa"/>
            <w:bottom w:w="0" w:type="dxa"/>
            <w:right w:w="108" w:type="dxa"/>
          </w:tblCellMar>
        </w:tblPrEx>
        <w:trPr>
          <w:trHeight w:val="609" w:hRule="atLeast"/>
        </w:trPr>
        <w:tc>
          <w:tcPr>
            <w:tcW w:w="190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承办单位名称</w:t>
            </w:r>
          </w:p>
        </w:tc>
        <w:tc>
          <w:tcPr>
            <w:tcW w:w="7092" w:type="dxa"/>
            <w:gridSpan w:val="3"/>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ascii="宋体" w:cs="仿宋_GB2312"/>
                <w:sz w:val="28"/>
                <w:szCs w:val="28"/>
              </w:rPr>
            </w:pPr>
          </w:p>
        </w:tc>
      </w:tr>
      <w:tr>
        <w:tblPrEx>
          <w:tblCellMar>
            <w:top w:w="0" w:type="dxa"/>
            <w:left w:w="108" w:type="dxa"/>
            <w:bottom w:w="0" w:type="dxa"/>
            <w:right w:w="108" w:type="dxa"/>
          </w:tblCellMar>
        </w:tblPrEx>
        <w:trPr>
          <w:trHeight w:val="910" w:hRule="atLeast"/>
        </w:trPr>
        <w:tc>
          <w:tcPr>
            <w:tcW w:w="190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承办单位联系人、联系电话</w:t>
            </w:r>
          </w:p>
        </w:tc>
        <w:tc>
          <w:tcPr>
            <w:tcW w:w="2592" w:type="dxa"/>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p>
        </w:tc>
        <w:tc>
          <w:tcPr>
            <w:tcW w:w="1826" w:type="dxa"/>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承办单位法人</w:t>
            </w:r>
            <w:r>
              <w:rPr>
                <w:rFonts w:hint="eastAsia" w:ascii="宋体" w:hAnsi="宋体" w:cs="仿宋_GB2312"/>
                <w:kern w:val="0"/>
                <w:sz w:val="28"/>
                <w:szCs w:val="28"/>
                <w:lang w:eastAsia="zh-CN"/>
              </w:rPr>
              <w:t>、</w:t>
            </w:r>
            <w:r>
              <w:rPr>
                <w:rFonts w:hint="eastAsia" w:ascii="宋体" w:hAnsi="宋体" w:cs="仿宋_GB2312"/>
                <w:kern w:val="0"/>
                <w:sz w:val="28"/>
                <w:szCs w:val="28"/>
              </w:rPr>
              <w:t>联系电话</w:t>
            </w:r>
          </w:p>
        </w:tc>
        <w:tc>
          <w:tcPr>
            <w:tcW w:w="2674" w:type="dxa"/>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p>
        </w:tc>
      </w:tr>
      <w:tr>
        <w:tblPrEx>
          <w:tblCellMar>
            <w:top w:w="0" w:type="dxa"/>
            <w:left w:w="108" w:type="dxa"/>
            <w:bottom w:w="0" w:type="dxa"/>
            <w:right w:w="108" w:type="dxa"/>
          </w:tblCellMar>
        </w:tblPrEx>
        <w:trPr>
          <w:trHeight w:val="1361" w:hRule="atLeast"/>
        </w:trPr>
        <w:tc>
          <w:tcPr>
            <w:tcW w:w="1908" w:type="dxa"/>
            <w:tcBorders>
              <w:top w:val="single" w:color="000000" w:sz="8" w:space="0"/>
              <w:left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仿宋_GB2312"/>
                <w:kern w:val="0"/>
                <w:sz w:val="28"/>
                <w:szCs w:val="28"/>
              </w:rPr>
            </w:pPr>
            <w:r>
              <w:rPr>
                <w:rFonts w:hint="eastAsia" w:ascii="宋体" w:hAnsi="宋体" w:cs="仿宋_GB2312"/>
                <w:kern w:val="0"/>
                <w:sz w:val="28"/>
                <w:szCs w:val="28"/>
              </w:rPr>
              <w:t>竞赛职业</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（工种）</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p>
        </w:tc>
        <w:tc>
          <w:tcPr>
            <w:tcW w:w="7092" w:type="dxa"/>
            <w:gridSpan w:val="3"/>
            <w:tcBorders>
              <w:top w:val="single" w:color="000000" w:sz="8"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textAlignment w:val="auto"/>
              <w:rPr>
                <w:rFonts w:hint="eastAsia" w:ascii="宋体" w:hAnsi="宋体" w:cs="仿宋_GB2312"/>
                <w:sz w:val="28"/>
                <w:szCs w:val="28"/>
                <w:lang w:val="en-US" w:eastAsia="zh-CN"/>
              </w:rPr>
            </w:pPr>
            <w:r>
              <w:rPr>
                <w:rFonts w:hint="eastAsia" w:ascii="宋体" w:hAnsi="宋体" w:cs="仿宋_GB2312"/>
                <w:sz w:val="28"/>
                <w:szCs w:val="28"/>
              </w:rPr>
              <w:t>职业（工种）名称：</w:t>
            </w:r>
            <w:r>
              <w:rPr>
                <w:rFonts w:hint="eastAsia" w:ascii="宋体" w:hAnsi="宋体" w:cs="仿宋_GB2312"/>
                <w:sz w:val="28"/>
                <w:szCs w:val="28"/>
                <w:lang w:val="en-US" w:eastAsia="zh-CN"/>
              </w:rPr>
              <w:t xml:space="preserve"> </w:t>
            </w:r>
          </w:p>
          <w:p>
            <w:pPr>
              <w:keepNext w:val="0"/>
              <w:keepLines w:val="0"/>
              <w:pageBreakBefore w:val="0"/>
              <w:kinsoku/>
              <w:wordWrap/>
              <w:overflowPunct/>
              <w:topLinePunct w:val="0"/>
              <w:bidi w:val="0"/>
              <w:snapToGrid/>
              <w:spacing w:line="400" w:lineRule="exact"/>
              <w:textAlignment w:val="auto"/>
              <w:rPr>
                <w:rFonts w:ascii="宋体" w:cs="仿宋_GB2312"/>
                <w:sz w:val="28"/>
                <w:szCs w:val="28"/>
              </w:rPr>
            </w:pPr>
            <w:r>
              <w:rPr>
                <w:rFonts w:hint="eastAsia" w:ascii="宋体" w:hAnsi="宋体" w:cs="仿宋_GB2312"/>
                <w:sz w:val="28"/>
                <w:szCs w:val="28"/>
              </w:rPr>
              <w:t>经费补助类型（</w:t>
            </w:r>
            <w:r>
              <w:rPr>
                <w:rFonts w:ascii="宋体" w:hAnsi="宋体" w:cs="仿宋_GB2312"/>
                <w:sz w:val="28"/>
                <w:szCs w:val="28"/>
              </w:rPr>
              <w:t xml:space="preserve"> A   B   C </w:t>
            </w:r>
            <w:r>
              <w:rPr>
                <w:rFonts w:hint="eastAsia" w:ascii="宋体" w:hAnsi="宋体" w:cs="仿宋_GB2312"/>
                <w:sz w:val="28"/>
                <w:szCs w:val="28"/>
              </w:rPr>
              <w:t>）</w:t>
            </w:r>
          </w:p>
          <w:p>
            <w:pPr>
              <w:keepNext w:val="0"/>
              <w:keepLines w:val="0"/>
              <w:pageBreakBefore w:val="0"/>
              <w:kinsoku/>
              <w:wordWrap/>
              <w:overflowPunct/>
              <w:topLinePunct w:val="0"/>
              <w:bidi w:val="0"/>
              <w:snapToGrid/>
              <w:spacing w:line="400" w:lineRule="exact"/>
              <w:textAlignment w:val="auto"/>
              <w:rPr>
                <w:rFonts w:hint="eastAsia" w:ascii="宋体" w:hAnsi="宋体" w:cs="仿宋_GB2312"/>
                <w:sz w:val="28"/>
                <w:szCs w:val="28"/>
                <w:lang w:val="en-US" w:eastAsia="zh-CN"/>
              </w:rPr>
            </w:pPr>
            <w:r>
              <w:rPr>
                <w:rFonts w:hint="eastAsia" w:ascii="宋体" w:hAnsi="宋体" w:cs="仿宋_GB2312"/>
                <w:sz w:val="28"/>
                <w:szCs w:val="28"/>
              </w:rPr>
              <w:t>决赛日期：</w:t>
            </w:r>
            <w:r>
              <w:rPr>
                <w:rFonts w:hint="eastAsia" w:ascii="宋体" w:hAnsi="宋体" w:cs="仿宋_GB2312"/>
                <w:sz w:val="28"/>
                <w:szCs w:val="28"/>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宋体" w:hAnsi="宋体" w:cs="仿宋_GB2312"/>
                <w:sz w:val="28"/>
                <w:szCs w:val="28"/>
                <w:lang w:val="en-US" w:eastAsia="zh-CN"/>
              </w:rPr>
            </w:pPr>
            <w:r>
              <w:rPr>
                <w:rFonts w:hint="eastAsia" w:ascii="宋体" w:hAnsi="宋体" w:cs="仿宋_GB2312"/>
                <w:sz w:val="28"/>
                <w:szCs w:val="28"/>
              </w:rPr>
              <w:t>决赛地点：</w:t>
            </w:r>
            <w:r>
              <w:rPr>
                <w:rFonts w:hint="eastAsia" w:ascii="宋体" w:hAnsi="宋体" w:cs="仿宋_GB2312"/>
                <w:sz w:val="28"/>
                <w:szCs w:val="28"/>
                <w:lang w:val="en-US" w:eastAsia="zh-CN"/>
              </w:rPr>
              <w:t xml:space="preserve">        </w:t>
            </w:r>
          </w:p>
          <w:p>
            <w:pPr>
              <w:keepNext w:val="0"/>
              <w:keepLines w:val="0"/>
              <w:pageBreakBefore w:val="0"/>
              <w:kinsoku/>
              <w:wordWrap/>
              <w:overflowPunct/>
              <w:topLinePunct w:val="0"/>
              <w:bidi w:val="0"/>
              <w:snapToGrid/>
              <w:spacing w:line="400" w:lineRule="exact"/>
              <w:textAlignment w:val="auto"/>
              <w:rPr>
                <w:rFonts w:ascii="宋体" w:cs="仿宋_GB2312"/>
                <w:sz w:val="28"/>
                <w:szCs w:val="28"/>
              </w:rPr>
            </w:pPr>
            <w:r>
              <w:rPr>
                <w:rFonts w:hint="eastAsia" w:ascii="宋体" w:hAnsi="宋体" w:cs="仿宋_GB2312"/>
                <w:sz w:val="28"/>
                <w:szCs w:val="28"/>
              </w:rPr>
              <w:t>决赛人数：</w:t>
            </w:r>
          </w:p>
        </w:tc>
      </w:tr>
      <w:tr>
        <w:tblPrEx>
          <w:tblCellMar>
            <w:top w:w="0" w:type="dxa"/>
            <w:left w:w="108" w:type="dxa"/>
            <w:bottom w:w="0" w:type="dxa"/>
            <w:right w:w="108" w:type="dxa"/>
          </w:tblCellMar>
        </w:tblPrEx>
        <w:trPr>
          <w:trHeight w:val="684" w:hRule="atLeast"/>
        </w:trPr>
        <w:tc>
          <w:tcPr>
            <w:tcW w:w="1908" w:type="dxa"/>
            <w:tcBorders>
              <w:top w:val="single" w:color="000000" w:sz="8" w:space="0"/>
              <w:left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rPr>
              <w:t>申请补助金额</w:t>
            </w:r>
          </w:p>
        </w:tc>
        <w:tc>
          <w:tcPr>
            <w:tcW w:w="7092" w:type="dxa"/>
            <w:gridSpan w:val="3"/>
            <w:tcBorders>
              <w:top w:val="single" w:color="000000" w:sz="8"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p>
        </w:tc>
      </w:tr>
      <w:tr>
        <w:tblPrEx>
          <w:tblCellMar>
            <w:top w:w="0" w:type="dxa"/>
            <w:left w:w="108" w:type="dxa"/>
            <w:bottom w:w="0" w:type="dxa"/>
            <w:right w:w="108" w:type="dxa"/>
          </w:tblCellMar>
        </w:tblPrEx>
        <w:trPr>
          <w:trHeight w:val="1209" w:hRule="atLeast"/>
        </w:trPr>
        <w:tc>
          <w:tcPr>
            <w:tcW w:w="1908" w:type="dxa"/>
            <w:tcBorders>
              <w:top w:val="single" w:color="000000" w:sz="8" w:space="0"/>
              <w:left w:val="single" w:color="000000" w:sz="8"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ascii="宋体"/>
                <w:sz w:val="28"/>
                <w:szCs w:val="28"/>
              </w:rPr>
            </w:pPr>
            <w:r>
              <w:rPr>
                <w:rFonts w:hint="eastAsia" w:ascii="宋体" w:hAnsi="宋体"/>
                <w:sz w:val="28"/>
                <w:szCs w:val="28"/>
              </w:rPr>
              <w:t>申报材料</w:t>
            </w:r>
          </w:p>
        </w:tc>
        <w:tc>
          <w:tcPr>
            <w:tcW w:w="7092" w:type="dxa"/>
            <w:gridSpan w:val="3"/>
            <w:tcBorders>
              <w:top w:val="single" w:color="000000" w:sz="8"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宋体" w:cs="仿宋_GB2312"/>
                <w:kern w:val="0"/>
                <w:sz w:val="28"/>
                <w:szCs w:val="28"/>
              </w:rPr>
            </w:pPr>
            <w:r>
              <w:rPr>
                <w:rFonts w:ascii="宋体" w:hAnsi="宋体" w:cs="仿宋_GB2312"/>
                <w:kern w:val="0"/>
                <w:sz w:val="28"/>
                <w:szCs w:val="28"/>
              </w:rPr>
              <w:t>1</w:t>
            </w:r>
            <w:r>
              <w:rPr>
                <w:rFonts w:hint="eastAsia" w:ascii="宋体" w:hAnsi="宋体" w:cs="仿宋_GB2312"/>
                <w:kern w:val="0"/>
                <w:sz w:val="28"/>
                <w:szCs w:val="28"/>
              </w:rPr>
              <w:t>、竞赛文件</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宋体" w:cs="仿宋_GB2312"/>
                <w:kern w:val="0"/>
                <w:sz w:val="28"/>
                <w:szCs w:val="28"/>
              </w:rPr>
            </w:pPr>
            <w:r>
              <w:rPr>
                <w:rFonts w:ascii="宋体" w:hAnsi="宋体" w:cs="仿宋_GB2312"/>
                <w:kern w:val="0"/>
                <w:sz w:val="28"/>
                <w:szCs w:val="28"/>
              </w:rPr>
              <w:t>2</w:t>
            </w:r>
            <w:r>
              <w:rPr>
                <w:rFonts w:hint="eastAsia" w:ascii="宋体" w:hAnsi="宋体" w:cs="仿宋_GB2312"/>
                <w:kern w:val="0"/>
                <w:sz w:val="28"/>
                <w:szCs w:val="28"/>
              </w:rPr>
              <w:t>、竞赛总结（含图片）</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宋体" w:cs="仿宋_GB2312"/>
                <w:kern w:val="0"/>
                <w:sz w:val="28"/>
                <w:szCs w:val="28"/>
              </w:rPr>
            </w:pPr>
            <w:r>
              <w:rPr>
                <w:rFonts w:ascii="宋体" w:hAnsi="宋体" w:cs="仿宋_GB2312"/>
                <w:kern w:val="0"/>
                <w:sz w:val="28"/>
                <w:szCs w:val="28"/>
              </w:rPr>
              <w:t>3</w:t>
            </w:r>
            <w:r>
              <w:rPr>
                <w:rFonts w:hint="eastAsia" w:ascii="宋体" w:hAnsi="宋体" w:cs="仿宋_GB2312"/>
                <w:kern w:val="0"/>
                <w:sz w:val="28"/>
                <w:szCs w:val="28"/>
              </w:rPr>
              <w:t>、竞赛决算清单</w:t>
            </w:r>
          </w:p>
        </w:tc>
      </w:tr>
      <w:tr>
        <w:tblPrEx>
          <w:tblCellMar>
            <w:top w:w="0" w:type="dxa"/>
            <w:left w:w="108" w:type="dxa"/>
            <w:bottom w:w="0" w:type="dxa"/>
            <w:right w:w="108" w:type="dxa"/>
          </w:tblCellMar>
        </w:tblPrEx>
        <w:trPr>
          <w:trHeight w:val="1939" w:hRule="atLeast"/>
        </w:trPr>
        <w:tc>
          <w:tcPr>
            <w:tcW w:w="190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宋体" w:cs="仿宋_GB2312"/>
                <w:kern w:val="0"/>
                <w:sz w:val="28"/>
                <w:szCs w:val="28"/>
              </w:rPr>
            </w:pPr>
            <w:r>
              <w:rPr>
                <w:rFonts w:hint="eastAsia" w:ascii="宋体" w:hAnsi="宋体" w:cs="仿宋_GB2312"/>
                <w:kern w:val="0"/>
                <w:sz w:val="28"/>
                <w:szCs w:val="28"/>
              </w:rPr>
              <w:t>承办单位意见</w:t>
            </w:r>
          </w:p>
        </w:tc>
        <w:tc>
          <w:tcPr>
            <w:tcW w:w="7092" w:type="dxa"/>
            <w:gridSpan w:val="3"/>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firstLine="7420" w:firstLineChars="2650"/>
              <w:jc w:val="left"/>
              <w:textAlignment w:val="auto"/>
              <w:rPr>
                <w:rFonts w:hint="eastAsia" w:ascii="宋体" w:hAnsi="宋体" w:cs="仿宋_GB2312"/>
                <w:kern w:val="0"/>
                <w:sz w:val="28"/>
                <w:szCs w:val="28"/>
              </w:rPr>
            </w:pPr>
          </w:p>
          <w:p>
            <w:pPr>
              <w:keepNext w:val="0"/>
              <w:keepLines w:val="0"/>
              <w:pageBreakBefore w:val="0"/>
              <w:kinsoku/>
              <w:wordWrap/>
              <w:overflowPunct/>
              <w:topLinePunct w:val="0"/>
              <w:autoSpaceDE w:val="0"/>
              <w:autoSpaceDN w:val="0"/>
              <w:bidi w:val="0"/>
              <w:adjustRightInd w:val="0"/>
              <w:snapToGrid/>
              <w:spacing w:line="400" w:lineRule="exact"/>
              <w:ind w:firstLine="7420" w:firstLineChars="2650"/>
              <w:jc w:val="left"/>
              <w:textAlignment w:val="auto"/>
              <w:rPr>
                <w:rFonts w:ascii="宋体" w:cs="仿宋_GB2312"/>
                <w:kern w:val="0"/>
                <w:sz w:val="28"/>
                <w:szCs w:val="28"/>
              </w:rPr>
            </w:pPr>
            <w:r>
              <w:rPr>
                <w:rFonts w:hint="eastAsia" w:ascii="宋体" w:hAnsi="宋体" w:cs="仿宋_GB2312"/>
                <w:kern w:val="0"/>
                <w:sz w:val="28"/>
                <w:szCs w:val="28"/>
              </w:rPr>
              <w:t xml:space="preserve">年  </w:t>
            </w:r>
            <w:r>
              <w:rPr>
                <w:rFonts w:hint="eastAsia" w:ascii="宋体" w:hAnsi="宋体" w:cs="仿宋_GB2312"/>
                <w:kern w:val="0"/>
                <w:sz w:val="28"/>
                <w:szCs w:val="28"/>
                <w:lang w:val="en-US" w:eastAsia="zh-CN"/>
              </w:rPr>
              <w:t xml:space="preserve">                                   年   </w:t>
            </w:r>
            <w:r>
              <w:rPr>
                <w:rFonts w:hint="eastAsia" w:ascii="宋体" w:hAnsi="宋体" w:cs="仿宋_GB2312"/>
                <w:kern w:val="0"/>
                <w:sz w:val="28"/>
                <w:szCs w:val="28"/>
              </w:rPr>
              <w:t>月   日</w:t>
            </w:r>
          </w:p>
        </w:tc>
      </w:tr>
      <w:tr>
        <w:tblPrEx>
          <w:tblCellMar>
            <w:top w:w="0" w:type="dxa"/>
            <w:left w:w="108" w:type="dxa"/>
            <w:bottom w:w="0" w:type="dxa"/>
            <w:right w:w="108" w:type="dxa"/>
          </w:tblCellMar>
        </w:tblPrEx>
        <w:trPr>
          <w:trHeight w:val="2022" w:hRule="atLeast"/>
        </w:trPr>
        <w:tc>
          <w:tcPr>
            <w:tcW w:w="190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cs="仿宋_GB2312"/>
                <w:kern w:val="0"/>
                <w:sz w:val="28"/>
                <w:szCs w:val="28"/>
              </w:rPr>
            </w:pPr>
            <w:r>
              <w:rPr>
                <w:rFonts w:hint="eastAsia" w:ascii="宋体" w:hAnsi="宋体" w:cs="仿宋_GB2312"/>
                <w:kern w:val="0"/>
                <w:sz w:val="28"/>
                <w:szCs w:val="28"/>
                <w:lang w:eastAsia="zh-CN"/>
              </w:rPr>
              <w:t>主办单位</w:t>
            </w:r>
            <w:r>
              <w:rPr>
                <w:rFonts w:hint="eastAsia" w:ascii="宋体" w:hAnsi="宋体" w:cs="仿宋_GB2312"/>
                <w:kern w:val="0"/>
                <w:sz w:val="28"/>
                <w:szCs w:val="28"/>
              </w:rPr>
              <w:t>意见</w:t>
            </w:r>
          </w:p>
        </w:tc>
        <w:tc>
          <w:tcPr>
            <w:tcW w:w="7092" w:type="dxa"/>
            <w:gridSpan w:val="3"/>
            <w:tcBorders>
              <w:top w:val="single" w:color="000000" w:sz="8"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6813" w:leftChars="2129" w:firstLine="700" w:firstLineChars="250"/>
              <w:jc w:val="center"/>
              <w:textAlignment w:val="auto"/>
              <w:rPr>
                <w:rFonts w:ascii="宋体" w:cs="仿宋_GB2312"/>
                <w:kern w:val="0"/>
                <w:sz w:val="28"/>
                <w:szCs w:val="28"/>
              </w:rPr>
            </w:pPr>
          </w:p>
          <w:p>
            <w:pPr>
              <w:keepNext w:val="0"/>
              <w:keepLines w:val="0"/>
              <w:pageBreakBefore w:val="0"/>
              <w:kinsoku/>
              <w:wordWrap/>
              <w:overflowPunct/>
              <w:topLinePunct w:val="0"/>
              <w:autoSpaceDE w:val="0"/>
              <w:autoSpaceDN w:val="0"/>
              <w:bidi w:val="0"/>
              <w:adjustRightInd w:val="0"/>
              <w:snapToGrid/>
              <w:spacing w:line="400" w:lineRule="exact"/>
              <w:ind w:firstLine="7560" w:firstLineChars="2700"/>
              <w:jc w:val="left"/>
              <w:textAlignment w:val="auto"/>
              <w:rPr>
                <w:rFonts w:ascii="宋体" w:cs="仿宋_GB2312"/>
                <w:kern w:val="0"/>
                <w:sz w:val="28"/>
                <w:szCs w:val="28"/>
              </w:rPr>
            </w:pPr>
            <w:r>
              <w:rPr>
                <w:rFonts w:hint="eastAsia" w:ascii="宋体" w:hAnsi="宋体" w:cs="仿宋_GB2312"/>
                <w:kern w:val="0"/>
                <w:sz w:val="28"/>
                <w:szCs w:val="28"/>
              </w:rPr>
              <w:t>（</w:t>
            </w:r>
          </w:p>
          <w:p>
            <w:pPr>
              <w:keepNext w:val="0"/>
              <w:keepLines w:val="0"/>
              <w:pageBreakBefore w:val="0"/>
              <w:widowControl/>
              <w:kinsoku/>
              <w:wordWrap/>
              <w:overflowPunct/>
              <w:topLinePunct w:val="0"/>
              <w:bidi w:val="0"/>
              <w:snapToGrid/>
              <w:spacing w:line="400" w:lineRule="exact"/>
              <w:jc w:val="center"/>
              <w:textAlignment w:val="auto"/>
              <w:rPr>
                <w:rFonts w:ascii="宋体" w:cs="仿宋_GB2312"/>
                <w:kern w:val="0"/>
                <w:sz w:val="28"/>
                <w:szCs w:val="28"/>
              </w:rPr>
            </w:pPr>
            <w:r>
              <w:rPr>
                <w:rFonts w:hint="eastAsia" w:ascii="宋体" w:hAnsi="宋体" w:cs="仿宋_GB2312"/>
                <w:sz w:val="28"/>
                <w:szCs w:val="28"/>
                <w:lang w:val="en-US" w:eastAsia="zh-CN"/>
              </w:rPr>
              <w:t xml:space="preserve">                                   </w:t>
            </w:r>
            <w:r>
              <w:rPr>
                <w:rFonts w:hint="eastAsia" w:ascii="宋体" w:hAnsi="宋体"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r>
        <w:rPr>
          <w:rFonts w:hint="eastAsia" w:ascii="黑体" w:hAnsi="黑体" w:eastAsia="黑体" w:cs="黑体"/>
          <w:sz w:val="32"/>
          <w:szCs w:val="22"/>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三明市职业技能竞赛选手报名表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代 表 队：                       组    别：</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参赛类别：                       参赛项目：</w:t>
      </w:r>
    </w:p>
    <w:tbl>
      <w:tblPr>
        <w:tblStyle w:val="2"/>
        <w:tblW w:w="92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032"/>
        <w:gridCol w:w="336"/>
        <w:gridCol w:w="1296"/>
        <w:gridCol w:w="708"/>
        <w:gridCol w:w="912"/>
        <w:gridCol w:w="1458"/>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368" w:type="dxa"/>
            <w:gridSpan w:val="2"/>
            <w:noWrap w:val="0"/>
            <w:vAlign w:val="center"/>
          </w:tcPr>
          <w:p>
            <w:pPr>
              <w:spacing w:line="400" w:lineRule="exact"/>
              <w:jc w:val="center"/>
              <w:rPr>
                <w:rFonts w:hint="eastAsia" w:ascii="仿宋_GB2312" w:hAnsi="仿宋_GB2312" w:eastAsia="仿宋_GB2312" w:cs="仿宋_GB2312"/>
                <w:bCs/>
                <w:sz w:val="28"/>
                <w:szCs w:val="28"/>
              </w:rPr>
            </w:pPr>
          </w:p>
        </w:tc>
        <w:tc>
          <w:tcPr>
            <w:tcW w:w="1296"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性别</w:t>
            </w:r>
          </w:p>
        </w:tc>
        <w:tc>
          <w:tcPr>
            <w:tcW w:w="708" w:type="dxa"/>
            <w:noWrap w:val="0"/>
            <w:vAlign w:val="center"/>
          </w:tcPr>
          <w:p>
            <w:pPr>
              <w:spacing w:line="400" w:lineRule="exact"/>
              <w:jc w:val="center"/>
              <w:rPr>
                <w:rFonts w:hint="eastAsia" w:ascii="仿宋_GB2312" w:hAnsi="仿宋_GB2312" w:eastAsia="仿宋_GB2312" w:cs="仿宋_GB2312"/>
                <w:bCs/>
                <w:sz w:val="28"/>
                <w:szCs w:val="28"/>
              </w:rPr>
            </w:pPr>
          </w:p>
        </w:tc>
        <w:tc>
          <w:tcPr>
            <w:tcW w:w="912"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年龄</w:t>
            </w:r>
          </w:p>
        </w:tc>
        <w:tc>
          <w:tcPr>
            <w:tcW w:w="1458" w:type="dxa"/>
            <w:noWrap w:val="0"/>
            <w:vAlign w:val="center"/>
          </w:tcPr>
          <w:p>
            <w:pPr>
              <w:spacing w:line="400" w:lineRule="exact"/>
              <w:jc w:val="center"/>
              <w:rPr>
                <w:rFonts w:hint="eastAsia" w:ascii="仿宋_GB2312" w:hAnsi="仿宋_GB2312" w:eastAsia="仿宋_GB2312" w:cs="仿宋_GB2312"/>
                <w:bCs/>
                <w:sz w:val="28"/>
                <w:szCs w:val="28"/>
              </w:rPr>
            </w:pPr>
          </w:p>
        </w:tc>
        <w:tc>
          <w:tcPr>
            <w:tcW w:w="2083" w:type="dxa"/>
            <w:vMerge w:val="restart"/>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民族</w:t>
            </w:r>
          </w:p>
        </w:tc>
        <w:tc>
          <w:tcPr>
            <w:tcW w:w="1032" w:type="dxa"/>
            <w:noWrap w:val="0"/>
            <w:vAlign w:val="center"/>
          </w:tcPr>
          <w:p>
            <w:pPr>
              <w:spacing w:line="400" w:lineRule="exact"/>
              <w:jc w:val="center"/>
              <w:rPr>
                <w:rFonts w:hint="eastAsia" w:ascii="仿宋_GB2312" w:hAnsi="仿宋_GB2312" w:eastAsia="仿宋_GB2312" w:cs="仿宋_GB2312"/>
                <w:bCs/>
                <w:sz w:val="28"/>
                <w:szCs w:val="28"/>
              </w:rPr>
            </w:pPr>
          </w:p>
        </w:tc>
        <w:tc>
          <w:tcPr>
            <w:tcW w:w="1632" w:type="dxa"/>
            <w:gridSpan w:val="2"/>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身份证号</w:t>
            </w:r>
          </w:p>
        </w:tc>
        <w:tc>
          <w:tcPr>
            <w:tcW w:w="3078" w:type="dxa"/>
            <w:gridSpan w:val="3"/>
            <w:noWrap w:val="0"/>
            <w:vAlign w:val="center"/>
          </w:tcPr>
          <w:p>
            <w:pPr>
              <w:spacing w:line="400" w:lineRule="exact"/>
              <w:jc w:val="center"/>
              <w:rPr>
                <w:rFonts w:hint="eastAsia" w:ascii="仿宋_GB2312" w:hAnsi="仿宋_GB2312" w:eastAsia="仿宋_GB2312" w:cs="仿宋_GB2312"/>
                <w:bCs/>
                <w:sz w:val="28"/>
                <w:szCs w:val="28"/>
              </w:rPr>
            </w:pPr>
          </w:p>
        </w:tc>
        <w:tc>
          <w:tcPr>
            <w:tcW w:w="2083" w:type="dxa"/>
            <w:vMerge w:val="continue"/>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所在</w:t>
            </w:r>
            <w:r>
              <w:rPr>
                <w:rFonts w:hint="eastAsia" w:ascii="仿宋_GB2312" w:hAnsi="仿宋_GB2312" w:eastAsia="仿宋_GB2312" w:cs="仿宋_GB2312"/>
                <w:bCs/>
                <w:sz w:val="28"/>
                <w:szCs w:val="28"/>
              </w:rPr>
              <w:t>单位</w:t>
            </w:r>
          </w:p>
        </w:tc>
        <w:tc>
          <w:tcPr>
            <w:tcW w:w="5742" w:type="dxa"/>
            <w:gridSpan w:val="6"/>
            <w:noWrap w:val="0"/>
            <w:vAlign w:val="center"/>
          </w:tcPr>
          <w:p>
            <w:pPr>
              <w:spacing w:line="400" w:lineRule="exact"/>
              <w:jc w:val="center"/>
              <w:rPr>
                <w:rFonts w:hint="eastAsia" w:ascii="仿宋_GB2312" w:hAnsi="仿宋_GB2312" w:eastAsia="仿宋_GB2312" w:cs="仿宋_GB2312"/>
                <w:bCs/>
                <w:sz w:val="28"/>
                <w:szCs w:val="28"/>
              </w:rPr>
            </w:pPr>
          </w:p>
        </w:tc>
        <w:tc>
          <w:tcPr>
            <w:tcW w:w="2083" w:type="dxa"/>
            <w:vMerge w:val="continue"/>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联系地址</w:t>
            </w:r>
          </w:p>
        </w:tc>
        <w:tc>
          <w:tcPr>
            <w:tcW w:w="5742" w:type="dxa"/>
            <w:gridSpan w:val="6"/>
            <w:noWrap w:val="0"/>
            <w:vAlign w:val="center"/>
          </w:tcPr>
          <w:p>
            <w:pPr>
              <w:spacing w:line="400" w:lineRule="exact"/>
              <w:jc w:val="center"/>
              <w:rPr>
                <w:rFonts w:hint="eastAsia" w:ascii="仿宋_GB2312" w:hAnsi="仿宋_GB2312" w:eastAsia="仿宋_GB2312" w:cs="仿宋_GB2312"/>
                <w:bCs/>
                <w:sz w:val="28"/>
                <w:szCs w:val="28"/>
              </w:rPr>
            </w:pPr>
          </w:p>
        </w:tc>
        <w:tc>
          <w:tcPr>
            <w:tcW w:w="2083" w:type="dxa"/>
            <w:vMerge w:val="continue"/>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邮编</w:t>
            </w:r>
          </w:p>
        </w:tc>
        <w:tc>
          <w:tcPr>
            <w:tcW w:w="1032" w:type="dxa"/>
            <w:noWrap w:val="0"/>
            <w:vAlign w:val="center"/>
          </w:tcPr>
          <w:p>
            <w:pPr>
              <w:spacing w:line="400" w:lineRule="exact"/>
              <w:jc w:val="center"/>
              <w:rPr>
                <w:rFonts w:hint="eastAsia" w:ascii="仿宋_GB2312" w:hAnsi="仿宋_GB2312" w:eastAsia="仿宋_GB2312" w:cs="仿宋_GB2312"/>
                <w:bCs/>
                <w:sz w:val="28"/>
                <w:szCs w:val="28"/>
              </w:rPr>
            </w:pPr>
          </w:p>
        </w:tc>
        <w:tc>
          <w:tcPr>
            <w:tcW w:w="1632" w:type="dxa"/>
            <w:gridSpan w:val="2"/>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5161" w:type="dxa"/>
            <w:gridSpan w:val="4"/>
            <w:noWrap w:val="0"/>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465" w:type="dxa"/>
            <w:gridSpan w:val="2"/>
            <w:noWrap w:val="0"/>
            <w:vAlign w:val="center"/>
          </w:tcPr>
          <w:p>
            <w:pPr>
              <w:spacing w:line="40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职业</w:t>
            </w:r>
            <w:r>
              <w:rPr>
                <w:rFonts w:hint="eastAsia" w:ascii="仿宋_GB2312" w:hAnsi="仿宋_GB2312" w:eastAsia="仿宋_GB2312" w:cs="仿宋_GB2312"/>
                <w:bCs/>
                <w:sz w:val="28"/>
                <w:szCs w:val="28"/>
                <w:lang w:val="en-US" w:eastAsia="zh-CN"/>
              </w:rPr>
              <w:t>技能、职称</w:t>
            </w:r>
            <w:r>
              <w:rPr>
                <w:rFonts w:hint="eastAsia" w:ascii="仿宋_GB2312" w:hAnsi="仿宋_GB2312" w:eastAsia="仿宋_GB2312" w:cs="仿宋_GB2312"/>
                <w:bCs/>
                <w:sz w:val="28"/>
                <w:szCs w:val="28"/>
              </w:rPr>
              <w:t>证书</w:t>
            </w:r>
            <w:r>
              <w:rPr>
                <w:rFonts w:hint="eastAsia" w:ascii="仿宋_GB2312" w:hAnsi="仿宋_GB2312" w:eastAsia="仿宋_GB2312" w:cs="仿宋_GB2312"/>
                <w:bCs/>
                <w:sz w:val="28"/>
                <w:szCs w:val="28"/>
                <w:lang w:val="en-US" w:eastAsia="zh-CN"/>
              </w:rPr>
              <w:t>名称及等级情况</w:t>
            </w:r>
          </w:p>
        </w:tc>
        <w:tc>
          <w:tcPr>
            <w:tcW w:w="6793" w:type="dxa"/>
            <w:gridSpan w:val="6"/>
            <w:noWrap w:val="0"/>
            <w:vAlign w:val="center"/>
          </w:tcPr>
          <w:p>
            <w:pPr>
              <w:spacing w:line="40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所在</w:t>
            </w:r>
            <w:r>
              <w:rPr>
                <w:rFonts w:hint="eastAsia" w:ascii="仿宋_GB2312" w:hAnsi="仿宋_GB2312" w:eastAsia="仿宋_GB2312" w:cs="仿宋_GB2312"/>
                <w:bCs/>
                <w:sz w:val="28"/>
                <w:szCs w:val="28"/>
              </w:rPr>
              <w:t>单位意见</w:t>
            </w:r>
          </w:p>
        </w:tc>
        <w:tc>
          <w:tcPr>
            <w:tcW w:w="7825" w:type="dxa"/>
            <w:gridSpan w:val="7"/>
            <w:noWrap w:val="0"/>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33" w:type="dxa"/>
            <w:noWrap w:val="0"/>
            <w:vAlign w:val="center"/>
          </w:tcPr>
          <w:p>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各参赛代表队</w:t>
            </w:r>
            <w:r>
              <w:rPr>
                <w:rFonts w:hint="eastAsia" w:ascii="仿宋_GB2312" w:hAnsi="仿宋_GB2312" w:eastAsia="仿宋_GB2312" w:cs="仿宋_GB2312"/>
                <w:bCs/>
                <w:sz w:val="28"/>
                <w:szCs w:val="28"/>
              </w:rPr>
              <w:t>审核意见</w:t>
            </w:r>
          </w:p>
        </w:tc>
        <w:tc>
          <w:tcPr>
            <w:tcW w:w="7825" w:type="dxa"/>
            <w:gridSpan w:val="7"/>
            <w:noWrap w:val="0"/>
            <w:vAlign w:val="top"/>
          </w:tcPr>
          <w:p>
            <w:pPr>
              <w:spacing w:line="400" w:lineRule="exact"/>
              <w:jc w:val="center"/>
              <w:rPr>
                <w:rFonts w:hint="eastAsia" w:ascii="仿宋_GB2312" w:hAnsi="仿宋_GB2312" w:eastAsia="仿宋_GB2312" w:cs="仿宋_GB2312"/>
                <w:bCs/>
                <w:sz w:val="28"/>
                <w:szCs w:val="28"/>
              </w:rPr>
            </w:pPr>
          </w:p>
          <w:p>
            <w:pPr>
              <w:spacing w:line="400" w:lineRule="exact"/>
              <w:jc w:val="center"/>
              <w:rPr>
                <w:rFonts w:hint="eastAsia" w:ascii="仿宋_GB2312" w:hAnsi="仿宋_GB2312" w:eastAsia="仿宋_GB2312" w:cs="仿宋_GB2312"/>
                <w:bCs/>
                <w:sz w:val="28"/>
                <w:szCs w:val="28"/>
              </w:rPr>
            </w:pPr>
          </w:p>
          <w:p>
            <w:pPr>
              <w:spacing w:line="400" w:lineRule="exact"/>
              <w:jc w:val="center"/>
              <w:rPr>
                <w:rFonts w:hint="eastAsia" w:ascii="仿宋_GB2312" w:hAnsi="仿宋_GB2312" w:eastAsia="仿宋_GB2312" w:cs="仿宋_GB2312"/>
                <w:bCs/>
                <w:sz w:val="28"/>
                <w:szCs w:val="28"/>
              </w:rPr>
            </w:pPr>
          </w:p>
          <w:p>
            <w:pPr>
              <w:spacing w:line="400" w:lineRule="exact"/>
              <w:jc w:val="center"/>
              <w:rPr>
                <w:rFonts w:hint="eastAsia" w:ascii="仿宋_GB2312" w:hAnsi="仿宋_GB2312" w:eastAsia="仿宋_GB2312" w:cs="仿宋_GB2312"/>
                <w:bCs/>
                <w:sz w:val="28"/>
                <w:szCs w:val="28"/>
              </w:rPr>
            </w:pPr>
          </w:p>
          <w:p>
            <w:pPr>
              <w:spacing w:line="400" w:lineRule="exact"/>
              <w:ind w:firstLine="5880" w:firstLineChars="21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w:t>
            </w:r>
            <w:r>
              <w:rPr>
                <w:rFonts w:hint="eastAsia" w:ascii="仿宋_GB2312" w:hAnsi="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月</w:t>
            </w:r>
            <w:r>
              <w:rPr>
                <w:rFonts w:hint="eastAsia" w:ascii="仿宋_GB2312" w:hAnsi="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3"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825" w:type="dxa"/>
            <w:gridSpan w:val="7"/>
            <w:noWrap w:val="0"/>
            <w:vAlign w:val="top"/>
          </w:tcPr>
          <w:p>
            <w:pPr>
              <w:spacing w:line="400" w:lineRule="exact"/>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22"/>
        </w:rPr>
      </w:pPr>
      <w:r>
        <w:rPr>
          <w:rFonts w:hint="eastAsia" w:ascii="黑体" w:hAnsi="黑体" w:eastAsia="黑体" w:cs="黑体"/>
          <w:sz w:val="32"/>
          <w:szCs w:val="22"/>
        </w:rPr>
        <w:t>附件4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三明市职业技能竞赛奖励申请表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2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879"/>
        <w:gridCol w:w="737"/>
        <w:gridCol w:w="624"/>
        <w:gridCol w:w="498"/>
        <w:gridCol w:w="673"/>
        <w:gridCol w:w="1262"/>
        <w:gridCol w:w="106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姓  名</w:t>
            </w:r>
          </w:p>
        </w:tc>
        <w:tc>
          <w:tcPr>
            <w:tcW w:w="22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Cs/>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性  别</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年  龄</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民   族</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身份证号</w:t>
            </w:r>
          </w:p>
        </w:tc>
        <w:tc>
          <w:tcPr>
            <w:tcW w:w="49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所在单位</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联系地址</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邮   编</w:t>
            </w: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电  话</w:t>
            </w:r>
          </w:p>
        </w:tc>
        <w:tc>
          <w:tcPr>
            <w:tcW w:w="45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获奖竞赛</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信息</w:t>
            </w: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竞赛名称</w:t>
            </w:r>
          </w:p>
        </w:tc>
        <w:tc>
          <w:tcPr>
            <w:tcW w:w="56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_GB2312" w:hAnsi="仿宋_GB2312" w:eastAsia="仿宋_GB2312" w:cs="仿宋_GB2312"/>
                <w:bCs/>
                <w:color w:val="000000"/>
                <w:sz w:val="28"/>
                <w:szCs w:val="28"/>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类别</w:t>
            </w:r>
          </w:p>
        </w:tc>
        <w:tc>
          <w:tcPr>
            <w:tcW w:w="56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世界技能大赛□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中华人民共和国职业技能大赛□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国家级一类赛（专项赛事）□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省级一类赛□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省级二类赛□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市级</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类赛</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市级二类赛□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_GB2312" w:hAnsi="仿宋_GB2312" w:eastAsia="仿宋_GB2312" w:cs="仿宋_GB2312"/>
                <w:bCs/>
                <w:color w:val="000000"/>
                <w:sz w:val="28"/>
                <w:szCs w:val="28"/>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奖项及名次</w:t>
            </w:r>
          </w:p>
        </w:tc>
        <w:tc>
          <w:tcPr>
            <w:tcW w:w="56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_GB2312" w:hAnsi="仿宋_GB2312" w:eastAsia="仿宋_GB2312" w:cs="仿宋_GB2312"/>
                <w:bCs/>
                <w:color w:val="000000"/>
                <w:sz w:val="28"/>
                <w:szCs w:val="28"/>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获奖文件</w:t>
            </w:r>
          </w:p>
        </w:tc>
        <w:tc>
          <w:tcPr>
            <w:tcW w:w="56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个人银行</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账号</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开户行</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所在单位</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意见</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（盖章）</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22"/>
        </w:rPr>
      </w:pPr>
      <w:r>
        <w:rPr>
          <w:rFonts w:hint="eastAsia" w:ascii="黑体" w:hAnsi="黑体" w:eastAsia="黑体" w:cs="黑体"/>
          <w:sz w:val="32"/>
          <w:szCs w:val="22"/>
        </w:rPr>
        <w:t>附件5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入选世界技能大赛集训基地奖励申请表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集训基地名称</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所在单位</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户名</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银行账号</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开户行</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91"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入选基地类型</w:t>
            </w:r>
          </w:p>
        </w:tc>
        <w:tc>
          <w:tcPr>
            <w:tcW w:w="6769" w:type="dxa"/>
            <w:noWrap w:val="0"/>
            <w:vAlign w:val="top"/>
          </w:tcPr>
          <w:p>
            <w:pPr>
              <w:widowControl/>
              <w:adjustRightInd w:val="0"/>
              <w:snapToGrid w:val="0"/>
              <w:spacing w:line="540" w:lineRule="exact"/>
              <w:jc w:val="both"/>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世界技能大赛国家级集训基地</w:t>
            </w:r>
            <w:r>
              <w:rPr>
                <w:rFonts w:hint="eastAsia" w:ascii="仿宋_GB2312" w:hAnsi="仿宋_GB2312" w:eastAsia="仿宋_GB2312" w:cs="仿宋_GB2312"/>
                <w:color w:val="000000"/>
                <w:sz w:val="28"/>
                <w:szCs w:val="28"/>
                <w:lang w:val="en-US" w:eastAsia="zh-CN"/>
              </w:rPr>
              <w:t xml:space="preserve">□ </w:t>
            </w:r>
          </w:p>
          <w:p>
            <w:pPr>
              <w:widowControl/>
              <w:adjustRightInd w:val="0"/>
              <w:snapToGrid w:val="0"/>
              <w:spacing w:line="540" w:lineRule="exact"/>
              <w:jc w:val="both"/>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eastAsia="zh-CN"/>
              </w:rPr>
              <w:t>世界技能大赛省级集训基地</w:t>
            </w:r>
            <w:r>
              <w:rPr>
                <w:rFonts w:hint="eastAsia" w:ascii="仿宋_GB2312" w:hAnsi="仿宋_GB2312" w:eastAsia="仿宋_GB2312" w:cs="仿宋_GB2312"/>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入选文件（名称、文号、发文单位）</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2291"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所在单位意见</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both"/>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（盖章）</w:t>
            </w:r>
          </w:p>
          <w:p>
            <w:pPr>
              <w:widowControl/>
              <w:adjustRightInd w:val="0"/>
              <w:snapToGrid w:val="0"/>
              <w:spacing w:line="540" w:lineRule="exact"/>
              <w:jc w:val="both"/>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主管单位意见</w:t>
            </w:r>
          </w:p>
        </w:tc>
        <w:tc>
          <w:tcPr>
            <w:tcW w:w="6769"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both"/>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（盖章）</w:t>
            </w:r>
          </w:p>
          <w:p>
            <w:pPr>
              <w:widowControl/>
              <w:adjustRightInd w:val="0"/>
              <w:snapToGrid w:val="0"/>
              <w:spacing w:line="540" w:lineRule="exact"/>
              <w:jc w:val="both"/>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r>
        <w:rPr>
          <w:rFonts w:hint="eastAsia" w:ascii="黑体" w:hAnsi="黑体" w:eastAsia="黑体" w:cs="黑体"/>
          <w:sz w:val="32"/>
          <w:szCs w:val="22"/>
        </w:rPr>
        <w:t>附件6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世界技能大赛集训基地培养选手奖励申请表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集训基地名称</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集训项目</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所在单位</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户名</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银行账号</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开户行</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培养选手情况</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2"/>
                <w:sz w:val="28"/>
                <w:szCs w:val="28"/>
                <w:vertAlign w:val="baseline"/>
                <w:lang w:val="en-US" w:eastAsia="zh-CN"/>
              </w:rPr>
              <w:t>入选国家集训队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Cs/>
                <w:color w:val="000000"/>
                <w:sz w:val="28"/>
                <w:szCs w:val="28"/>
                <w:lang w:val="en-US" w:eastAsia="zh-CN"/>
              </w:rPr>
              <w:t xml:space="preserve">   入选福建省集训队</w:t>
            </w:r>
            <w:r>
              <w:rPr>
                <w:rFonts w:hint="eastAsia" w:ascii="仿宋_GB2312" w:hAnsi="仿宋_GB2312" w:eastAsia="仿宋_GB2312" w:cs="仿宋_GB2312"/>
                <w:color w:val="000000"/>
                <w:sz w:val="28"/>
                <w:szCs w:val="28"/>
                <w:lang w:val="en-US" w:eastAsia="zh-CN"/>
              </w:rPr>
              <w:t xml:space="preserve">□ </w:t>
            </w:r>
          </w:p>
          <w:p>
            <w:pPr>
              <w:widowControl/>
              <w:adjustRightInd w:val="0"/>
              <w:snapToGrid w:val="0"/>
              <w:spacing w:line="540" w:lineRule="exact"/>
              <w:ind w:firstLine="2240" w:firstLineChars="800"/>
              <w:jc w:val="both"/>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（入选文件）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所在单位意见</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（盖章）</w:t>
            </w: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center"/>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主管单位意见</w:t>
            </w:r>
          </w:p>
        </w:tc>
        <w:tc>
          <w:tcPr>
            <w:tcW w:w="7106" w:type="dxa"/>
            <w:noWrap w:val="0"/>
            <w:vAlign w:val="top"/>
          </w:tcPr>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（盖章）</w:t>
            </w:r>
          </w:p>
          <w:p>
            <w:pPr>
              <w:widowControl/>
              <w:adjustRightInd w:val="0"/>
              <w:snapToGrid w:val="0"/>
              <w:spacing w:line="540" w:lineRule="exact"/>
              <w:jc w:val="center"/>
              <w:rPr>
                <w:rFonts w:hint="eastAsia" w:ascii="仿宋_GB2312" w:hAnsi="仿宋_GB2312" w:eastAsia="仿宋_GB2312" w:cs="仿宋_GB2312"/>
                <w:bCs/>
                <w:color w:val="000000"/>
                <w:kern w:val="2"/>
                <w:sz w:val="28"/>
                <w:szCs w:val="28"/>
                <w:vertAlign w:val="baseline"/>
                <w:lang w:val="en-US" w:eastAsia="zh-CN"/>
              </w:rPr>
            </w:pPr>
            <w:r>
              <w:rPr>
                <w:rFonts w:hint="eastAsia" w:ascii="仿宋_GB2312" w:hAnsi="仿宋_GB2312" w:eastAsia="仿宋_GB2312" w:cs="仿宋_GB2312"/>
                <w:bCs/>
                <w:color w:val="000000"/>
                <w:kern w:val="2"/>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DFD192A"/>
    <w:rsid w:val="7DFD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2022-08-11T02:19:00Z</dcterms:created>
  <dc:creator>WPS_1644971829</dc:creator>
  <cp:lastModifiedBy>WPS_1644971829</cp:lastModifiedBy>
  <dcterms:modified xsi:type="dcterms:W3CDTF">2022-08-11T02:20:07Z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5B48A5C9AFCD4008AAECC356269CBD3D</vt:lpwstr>
  </property>
</Properties>
</file>